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15" w:rsidRPr="009836CF" w:rsidRDefault="00A42B15" w:rsidP="00A42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 (</w:t>
      </w:r>
      <w:r w:rsidRPr="009836CF">
        <w:rPr>
          <w:rFonts w:ascii="Times New Roman" w:hAnsi="Times New Roman" w:cs="Times New Roman"/>
          <w:b/>
          <w:sz w:val="28"/>
          <w:szCs w:val="28"/>
        </w:rPr>
        <w:t>«З» - «О»)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«Имидж» обратилось в коммерческий банк «Гарант» за выдачей кредита со сроком возврата до 29 августа 2016г. Кредит был выдан, и, по требованию коммерческого банка, договор был удостоверен нотариально. В качестве обеспечения исполнения кредитного обязательства банк потребовал передачи под залог салон красоты, принадлежащего ООО «Имидж», о чем стороны и заключили отдельное соглашение.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Заемщик не смог своевременно погасить всю сумму кредита, в связи с чем банк «Гарант» обратился в суд с требованием обратить взыскание на заложенное имущество.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9836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</w:p>
    <w:p w:rsidR="00A42B15" w:rsidRPr="009836CF" w:rsidRDefault="00A42B15" w:rsidP="00A42B15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сведения должен обязательно содержать договор залога?</w:t>
      </w:r>
    </w:p>
    <w:p w:rsidR="00A42B15" w:rsidRPr="009836CF" w:rsidRDefault="00A42B15" w:rsidP="00A42B15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какой форме заключается соглашение о залоге?</w:t>
      </w:r>
    </w:p>
    <w:p w:rsidR="00A42B15" w:rsidRPr="009836CF" w:rsidRDefault="00A42B15" w:rsidP="00A42B15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Обязательно ли нотариальное удостоверение кредитного договора?</w:t>
      </w:r>
    </w:p>
    <w:p w:rsidR="00A42B15" w:rsidRPr="009836CF" w:rsidRDefault="00A42B15" w:rsidP="00A42B15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Возможно ли наложить взыскание на заложенное имущество без обращения в суд?</w:t>
      </w:r>
    </w:p>
    <w:p w:rsidR="00A42B15" w:rsidRPr="009836CF" w:rsidRDefault="00A42B15" w:rsidP="00A42B15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Какое решение вынесет суд?</w:t>
      </w:r>
    </w:p>
    <w:p w:rsidR="00A42B15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15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15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42B15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84" w:rsidRPr="00D42D84" w:rsidRDefault="00D57DA2" w:rsidP="00D4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договор имеет свои существенные условия, которые являются обязательными. В случае, если в договоре не будет достигнуто соглашение сторон хотя бы в отношении одного существенного условия договора, то такой договор не считается заключенным. Договор залога в гражданском законодательстве закреплен в части первой Гражданского кодекса РФ, как способ обеспечения исполнения обязательств. Договор залога, не является самостоятельным видом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правового договора, он заключается как способ обеспечения исполнения обязательств по иному заключенному договору между сторонами. В нашем случае, таким договором является кредитный договор. Существенные условия договора залога перечислены в ст. 339 ГК РФ. Так, согласно данной норме «в</w:t>
      </w:r>
      <w:r w:rsidR="00D42D84" w:rsidRPr="00D4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договоре залога должны быть указаны предмет залога, существо, размер и срок исполнения обязательства, обеспечиваемого залогом. Условия, относящиеся к основному обязательству, считаются согласованными, если в договоре залога имеется отсылка к договору, из которого возникло или возникнет в будущем обеспечиваемое обязательство.</w:t>
      </w:r>
    </w:p>
    <w:p w:rsidR="00A42B15" w:rsidRDefault="00D42D84" w:rsidP="00D42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могут предусмотреть в договоре залога условие о порядке реализации заложенного имущества, взыскание на которое обращено по решению суда, или условие о возможности обращения взыскания на заложенное имущество во внесудебном порядке</w:t>
      </w:r>
      <w:r w:rsid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2D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A2" w:rsidRPr="00D57DA2" w:rsidRDefault="00D57DA2" w:rsidP="00D5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касается формы договора залога, то она закреплена в ч. 3 ст. 339 ГК РФ. Согласно данной норме «</w:t>
      </w:r>
      <w:r w:rsidRP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залога должен быть заключен в простой письменной форме, если законом или соглашением сторон не установлена нотариальная форма.</w:t>
      </w:r>
    </w:p>
    <w:p w:rsidR="00D57DA2" w:rsidRDefault="00D57DA2" w:rsidP="00D5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залога в обеспечение исполнения обязательств по договору, который должен быть нотариально удостоверен, подлежит нотариальному удостоверению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A2" w:rsidRPr="00D57DA2" w:rsidRDefault="00406A7F" w:rsidP="00D5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ст. 820 ГК РФ не закреплено, что кредитный договор должен быть в обязательном порядке нотариально заверен. В данной норме говорится лишь только о том, что кредитный договор заключается в письменной форме. </w:t>
      </w:r>
      <w:r w:rsidR="00D5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условию задачи кредитный договор между сторонами был заключен и удостоверен нотариально. В таком случае, договор залога также должен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нотариально заверен. </w:t>
      </w:r>
    </w:p>
    <w:p w:rsidR="004E5927" w:rsidRPr="004E5927" w:rsidRDefault="00406A7F" w:rsidP="004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349 ГК РФ </w:t>
      </w: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927"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взыскания на заложенное имущество осуществляется по решению суда, если соглашением залогодателя и залогодержателя не предусмотрен внесудебный порядок обращения взыскания на заложенное имущество.</w:t>
      </w:r>
    </w:p>
    <w:p w:rsidR="004E5927" w:rsidRDefault="004E5927" w:rsidP="004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соглашением сторон предусмотрен внесудебный порядок обращения взыскания на заложенное имущество, залогодержатель вправе предъявить в суд требование об обращении взыскания на заложенное имущество. 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наложение взыскания возможно во внесудебном порядке.</w:t>
      </w:r>
    </w:p>
    <w:p w:rsidR="004E5927" w:rsidRPr="004E5927" w:rsidRDefault="004E5927" w:rsidP="004E5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кредитор обратился в суд за взысканием, то суд вынесет положительное решение, так как сторонами заранее было обговорено, что кредитный договор заключается под залог имущества должника. </w:t>
      </w:r>
    </w:p>
    <w:p w:rsidR="00A42B15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Default="004E5927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2. </w:t>
      </w:r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Мостстрой</w:t>
      </w:r>
      <w:proofErr w:type="spell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находящееся в Казани, заключило договор на поставку стройматериалов с ООО «СУ-225», находящимся в Москве. В соответствии с </w:t>
      </w:r>
      <w:proofErr w:type="gram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  ООО</w:t>
      </w:r>
      <w:proofErr w:type="gram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Мостстрой</w:t>
      </w:r>
      <w:proofErr w:type="spell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должно было произвести поставку до 1 декабря 2016 г. Поставленную продукцию покупатель должен был оплатить в течение 10 дней с момента отгрузки товара. Момент перехода права собственности и обязательство по доставке не были </w:t>
      </w:r>
      <w:proofErr w:type="gram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оговорены  сторонами</w:t>
      </w:r>
      <w:proofErr w:type="gram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 2016 г. ООО «</w:t>
      </w:r>
      <w:proofErr w:type="spell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Мостстрой</w:t>
      </w:r>
      <w:proofErr w:type="spell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передало стройматериалы в необходимом количестве </w:t>
      </w:r>
      <w:proofErr w:type="gram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</w:t>
      </w:r>
      <w:proofErr w:type="gram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Темп», осуществляющего перевозку грузов, для доставки их покупателю, о чем ООО «</w:t>
      </w:r>
      <w:proofErr w:type="spell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Мостстрой</w:t>
      </w:r>
      <w:proofErr w:type="spell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сообщило ООО «СУ-225» и предоставило отгрузочные документы. В результате ДТП автомашина, на которой перевозился груз, перевернулась и часть груза пришла в негодность. Уцелевший груз был доставлен в адрес ООО «СУ-225» 5 декабря 2016г.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 ООО «СУ-225» оплатило стоимость только той части груза, которая была им получена. ООО «</w:t>
      </w:r>
      <w:proofErr w:type="spellStart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Мостстрой</w:t>
      </w:r>
      <w:proofErr w:type="spellEnd"/>
      <w:r w:rsidRPr="009836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предъявило требование об оплате всей отгруженной продукции.</w:t>
      </w:r>
    </w:p>
    <w:p w:rsidR="00A42B15" w:rsidRPr="009836CF" w:rsidRDefault="00A42B15" w:rsidP="00A4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Вопросы:</w:t>
      </w:r>
    </w:p>
    <w:p w:rsidR="00A42B15" w:rsidRPr="009836CF" w:rsidRDefault="00A42B15" w:rsidP="00A42B15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какого момента возникает у </w:t>
      </w:r>
      <w:proofErr w:type="gramStart"/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покупателя  право</w:t>
      </w:r>
      <w:proofErr w:type="gramEnd"/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собственности на имущество, не требующее государственной регистрации, если такой момент не оговорен договором?</w:t>
      </w:r>
    </w:p>
    <w:p w:rsidR="00A42B15" w:rsidRPr="009836CF" w:rsidRDefault="00A42B15" w:rsidP="00A42B15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какого момента возникло право собственности на стройматериалы у ООО «СУ-225»? обоснуйте ответ.</w:t>
      </w:r>
    </w:p>
    <w:p w:rsidR="00A42B15" w:rsidRDefault="00A42B15" w:rsidP="00A42B15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36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Обязано ли ООО «СУ-225» оплатить поставку стройматериалов в полном объеме?</w:t>
      </w: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223 ГК РФ право собственности у приобретателя вещи по договору возникает с момента ее передачи, если иное не предусмотрено законом или договором.</w:t>
      </w: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стройматериалы у ООО «СУ-225» возникло с момента сдачи товара транспортной компании - 26 ноября 2016 г. Место приемки товара никак не отменяет этого обстоятельства, если договором прямо не предусмотрено, что право собственности переходит к Покупателю в момент приемки товара в месте доставки.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ООО «СУ – 225» обязано оплатить стройматериалы в полном объеме.</w:t>
      </w:r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РФ регулирует лишь общие положения договора поставки, тем самим хозяйственным субъектами предоставляется право и возможность самостоятельного регулирования вопросов применения ответственности за неисполнение или ненадлежащее исполнение обязательств.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надлежащей перевозки товара регулируется договором поставки товара, причем в нем в обязательном порядке должно быть обговорено условие о риске случайной гибели или повреждения товара. Следовательно,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ответственности за товар, который пришел в негодность должен решаться между ООО «СУ-225»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Темп».</w:t>
      </w:r>
      <w:bookmarkStart w:id="0" w:name="_GoBack"/>
      <w:bookmarkEnd w:id="0"/>
    </w:p>
    <w:p w:rsidR="004E5927" w:rsidRPr="004E5927" w:rsidRDefault="004E5927" w:rsidP="004E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A81" w:rsidRPr="004E5927" w:rsidRDefault="00AC7A81"/>
    <w:sectPr w:rsidR="00AC7A81" w:rsidRPr="004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F93548"/>
    <w:multiLevelType w:val="multilevel"/>
    <w:tmpl w:val="0540B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84" w:hanging="6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FEB3B0F"/>
    <w:multiLevelType w:val="hybridMultilevel"/>
    <w:tmpl w:val="E3E8B692"/>
    <w:lvl w:ilvl="0" w:tplc="1F80E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15"/>
    <w:rsid w:val="000A4CE9"/>
    <w:rsid w:val="0014247C"/>
    <w:rsid w:val="001919E6"/>
    <w:rsid w:val="001E68EA"/>
    <w:rsid w:val="0039155E"/>
    <w:rsid w:val="00394A26"/>
    <w:rsid w:val="004024C0"/>
    <w:rsid w:val="00406A7F"/>
    <w:rsid w:val="00416D2C"/>
    <w:rsid w:val="004C02AA"/>
    <w:rsid w:val="004D0277"/>
    <w:rsid w:val="004E5927"/>
    <w:rsid w:val="00573894"/>
    <w:rsid w:val="005C6304"/>
    <w:rsid w:val="005D3280"/>
    <w:rsid w:val="00641FB5"/>
    <w:rsid w:val="006D524E"/>
    <w:rsid w:val="007E105E"/>
    <w:rsid w:val="008376C5"/>
    <w:rsid w:val="008E2074"/>
    <w:rsid w:val="009666F1"/>
    <w:rsid w:val="00983FB0"/>
    <w:rsid w:val="009F6C42"/>
    <w:rsid w:val="00A42B15"/>
    <w:rsid w:val="00AC7A81"/>
    <w:rsid w:val="00AD35B6"/>
    <w:rsid w:val="00AF4F60"/>
    <w:rsid w:val="00B141DA"/>
    <w:rsid w:val="00B1533C"/>
    <w:rsid w:val="00B264CF"/>
    <w:rsid w:val="00B50402"/>
    <w:rsid w:val="00B5773D"/>
    <w:rsid w:val="00B763AD"/>
    <w:rsid w:val="00CB260C"/>
    <w:rsid w:val="00CF4805"/>
    <w:rsid w:val="00D0471B"/>
    <w:rsid w:val="00D42D84"/>
    <w:rsid w:val="00D57DA2"/>
    <w:rsid w:val="00D73231"/>
    <w:rsid w:val="00E47BA1"/>
    <w:rsid w:val="00E91996"/>
    <w:rsid w:val="00E954FA"/>
    <w:rsid w:val="00EB2D53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AD35"/>
  <w15:chartTrackingRefBased/>
  <w15:docId w15:val="{205493DE-CE9E-45E0-ABF5-F767F7F4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15"/>
  </w:style>
  <w:style w:type="paragraph" w:styleId="1">
    <w:name w:val="heading 1"/>
    <w:basedOn w:val="a"/>
    <w:next w:val="a"/>
    <w:link w:val="10"/>
    <w:uiPriority w:val="9"/>
    <w:qFormat/>
    <w:rsid w:val="00E954FA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8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FA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0A4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99"/>
    <w:semiHidden/>
    <w:unhideWhenUsed/>
    <w:rsid w:val="000A4C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A4CE9"/>
  </w:style>
  <w:style w:type="character" w:customStyle="1" w:styleId="20">
    <w:name w:val="Заголовок 2 Знак"/>
    <w:basedOn w:val="a0"/>
    <w:link w:val="2"/>
    <w:uiPriority w:val="9"/>
    <w:semiHidden/>
    <w:rsid w:val="005D3280"/>
    <w:rPr>
      <w:rFonts w:ascii="Times New Roman" w:eastAsiaTheme="majorEastAsia" w:hAnsi="Times New Roman" w:cstheme="majorBidi"/>
      <w:b/>
      <w:sz w:val="28"/>
      <w:szCs w:val="26"/>
    </w:rPr>
  </w:style>
  <w:style w:type="character" w:styleId="a7">
    <w:name w:val="Hyperlink"/>
    <w:basedOn w:val="a0"/>
    <w:uiPriority w:val="99"/>
    <w:unhideWhenUsed/>
    <w:rsid w:val="00D57DA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E59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ОКСАНА</dc:creator>
  <cp:keywords/>
  <dc:description/>
  <cp:lastModifiedBy>юрист ОКСАНА</cp:lastModifiedBy>
  <cp:revision>1</cp:revision>
  <dcterms:created xsi:type="dcterms:W3CDTF">2022-01-05T13:21:00Z</dcterms:created>
  <dcterms:modified xsi:type="dcterms:W3CDTF">2022-01-05T18:44:00Z</dcterms:modified>
</cp:coreProperties>
</file>