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A694D" w14:textId="299A3DC1" w:rsidR="001012AF" w:rsidRPr="00E73E80" w:rsidRDefault="001012AF" w:rsidP="001012AF">
      <w:pPr>
        <w:widowControl w:val="0"/>
        <w:tabs>
          <w:tab w:val="left" w:pos="1134"/>
        </w:tabs>
        <w:ind w:firstLine="680"/>
        <w:jc w:val="both"/>
        <w:rPr>
          <w:b/>
          <w:sz w:val="28"/>
          <w:szCs w:val="28"/>
        </w:rPr>
      </w:pPr>
      <w:r w:rsidRPr="00E73E80">
        <w:rPr>
          <w:b/>
          <w:sz w:val="28"/>
          <w:szCs w:val="28"/>
        </w:rPr>
        <w:t>Зада</w:t>
      </w:r>
      <w:r>
        <w:rPr>
          <w:b/>
          <w:sz w:val="28"/>
          <w:szCs w:val="28"/>
        </w:rPr>
        <w:t>ча</w:t>
      </w:r>
      <w:r w:rsidRPr="00E73E80">
        <w:rPr>
          <w:b/>
          <w:sz w:val="28"/>
          <w:szCs w:val="28"/>
        </w:rPr>
        <w:t xml:space="preserve"> </w:t>
      </w:r>
      <w:r>
        <w:rPr>
          <w:b/>
          <w:bCs/>
          <w:sz w:val="28"/>
          <w:szCs w:val="28"/>
        </w:rPr>
        <w:t>1</w:t>
      </w:r>
      <w:r w:rsidRPr="00E73E80">
        <w:rPr>
          <w:b/>
          <w:bCs/>
          <w:sz w:val="28"/>
          <w:szCs w:val="28"/>
        </w:rPr>
        <w:t>.</w:t>
      </w:r>
      <w:r w:rsidRPr="00E73E80">
        <w:rPr>
          <w:sz w:val="28"/>
          <w:szCs w:val="28"/>
        </w:rPr>
        <w:t xml:space="preserve"> Рентабельность капитала и рентабельность активов банка позволяет оценить эффективность его работы. Проанализируйте данные таблицы и сделайте вывод об эффективности работы данного банка.</w:t>
      </w:r>
    </w:p>
    <w:p w14:paraId="35366D50" w14:textId="77777777" w:rsidR="001012AF" w:rsidRPr="00E73E80" w:rsidRDefault="001012AF" w:rsidP="001012AF">
      <w:pPr>
        <w:widowControl w:val="0"/>
        <w:ind w:firstLine="720"/>
        <w:jc w:val="both"/>
        <w:rPr>
          <w:sz w:val="16"/>
          <w:szCs w:val="16"/>
        </w:rPr>
      </w:pPr>
    </w:p>
    <w:tbl>
      <w:tblPr>
        <w:tblStyle w:val="ab"/>
        <w:tblW w:w="0" w:type="auto"/>
        <w:jc w:val="center"/>
        <w:tblLook w:val="01E0" w:firstRow="1" w:lastRow="1" w:firstColumn="1" w:lastColumn="1" w:noHBand="0" w:noVBand="0"/>
      </w:tblPr>
      <w:tblGrid>
        <w:gridCol w:w="5625"/>
        <w:gridCol w:w="2655"/>
      </w:tblGrid>
      <w:tr w:rsidR="001012AF" w:rsidRPr="00E73E80" w14:paraId="44296D3F" w14:textId="77777777" w:rsidTr="0004162F">
        <w:trPr>
          <w:jc w:val="center"/>
        </w:trPr>
        <w:tc>
          <w:tcPr>
            <w:tcW w:w="5625" w:type="dxa"/>
          </w:tcPr>
          <w:p w14:paraId="040C74B3" w14:textId="77777777" w:rsidR="001012AF" w:rsidRPr="00E73E80" w:rsidRDefault="001012AF" w:rsidP="00A17557">
            <w:pPr>
              <w:widowControl w:val="0"/>
              <w:jc w:val="center"/>
              <w:rPr>
                <w:b/>
              </w:rPr>
            </w:pPr>
            <w:r w:rsidRPr="00E73E80">
              <w:rPr>
                <w:b/>
              </w:rPr>
              <w:t>Статья</w:t>
            </w:r>
          </w:p>
        </w:tc>
        <w:tc>
          <w:tcPr>
            <w:tcW w:w="2655" w:type="dxa"/>
          </w:tcPr>
          <w:p w14:paraId="6CE5BA4F" w14:textId="77777777" w:rsidR="001012AF" w:rsidRPr="00E73E80" w:rsidRDefault="001012AF" w:rsidP="00A17557">
            <w:pPr>
              <w:widowControl w:val="0"/>
              <w:jc w:val="center"/>
              <w:rPr>
                <w:b/>
              </w:rPr>
            </w:pPr>
            <w:r w:rsidRPr="00E73E80">
              <w:rPr>
                <w:b/>
              </w:rPr>
              <w:t>Сумма, млн. рублей</w:t>
            </w:r>
          </w:p>
        </w:tc>
      </w:tr>
      <w:tr w:rsidR="001012AF" w:rsidRPr="00E73E80" w14:paraId="7CE655C2" w14:textId="77777777" w:rsidTr="0004162F">
        <w:trPr>
          <w:jc w:val="center"/>
        </w:trPr>
        <w:tc>
          <w:tcPr>
            <w:tcW w:w="5625" w:type="dxa"/>
          </w:tcPr>
          <w:p w14:paraId="0450F02B" w14:textId="77777777" w:rsidR="001012AF" w:rsidRPr="00E73E80" w:rsidRDefault="001012AF" w:rsidP="00A17557">
            <w:pPr>
              <w:widowControl w:val="0"/>
              <w:jc w:val="both"/>
            </w:pPr>
            <w:r w:rsidRPr="00E73E80">
              <w:t>Собственный капитал</w:t>
            </w:r>
          </w:p>
        </w:tc>
        <w:tc>
          <w:tcPr>
            <w:tcW w:w="2655" w:type="dxa"/>
          </w:tcPr>
          <w:p w14:paraId="301A52C6" w14:textId="77777777" w:rsidR="001012AF" w:rsidRPr="00E73E80" w:rsidRDefault="001012AF" w:rsidP="00A17557">
            <w:pPr>
              <w:widowControl w:val="0"/>
              <w:jc w:val="center"/>
            </w:pPr>
            <w:r w:rsidRPr="00E73E80">
              <w:t>3811</w:t>
            </w:r>
          </w:p>
        </w:tc>
      </w:tr>
      <w:tr w:rsidR="001012AF" w:rsidRPr="00E73E80" w14:paraId="383C8269" w14:textId="77777777" w:rsidTr="0004162F">
        <w:trPr>
          <w:jc w:val="center"/>
        </w:trPr>
        <w:tc>
          <w:tcPr>
            <w:tcW w:w="5625" w:type="dxa"/>
          </w:tcPr>
          <w:p w14:paraId="2B74FFE5" w14:textId="77777777" w:rsidR="001012AF" w:rsidRPr="00E73E80" w:rsidRDefault="001012AF" w:rsidP="00A17557">
            <w:pPr>
              <w:widowControl w:val="0"/>
              <w:jc w:val="both"/>
            </w:pPr>
            <w:r w:rsidRPr="00E73E80">
              <w:t>Вклады населения</w:t>
            </w:r>
          </w:p>
        </w:tc>
        <w:tc>
          <w:tcPr>
            <w:tcW w:w="2655" w:type="dxa"/>
          </w:tcPr>
          <w:p w14:paraId="4289B6F4" w14:textId="77777777" w:rsidR="001012AF" w:rsidRPr="00E73E80" w:rsidRDefault="001012AF" w:rsidP="00A17557">
            <w:pPr>
              <w:widowControl w:val="0"/>
              <w:jc w:val="center"/>
            </w:pPr>
            <w:r w:rsidRPr="00E73E80">
              <w:t>5907</w:t>
            </w:r>
          </w:p>
        </w:tc>
      </w:tr>
      <w:tr w:rsidR="001012AF" w:rsidRPr="00E73E80" w14:paraId="70379D93" w14:textId="77777777" w:rsidTr="0004162F">
        <w:trPr>
          <w:jc w:val="center"/>
        </w:trPr>
        <w:tc>
          <w:tcPr>
            <w:tcW w:w="5625" w:type="dxa"/>
          </w:tcPr>
          <w:p w14:paraId="0463D2D6" w14:textId="77777777" w:rsidR="001012AF" w:rsidRPr="00E73E80" w:rsidRDefault="001012AF" w:rsidP="00A17557">
            <w:pPr>
              <w:widowControl w:val="0"/>
              <w:jc w:val="both"/>
            </w:pPr>
            <w:r w:rsidRPr="00E73E80">
              <w:t>Ценные бумаги</w:t>
            </w:r>
          </w:p>
        </w:tc>
        <w:tc>
          <w:tcPr>
            <w:tcW w:w="2655" w:type="dxa"/>
          </w:tcPr>
          <w:p w14:paraId="049C034F" w14:textId="77777777" w:rsidR="001012AF" w:rsidRPr="00E73E80" w:rsidRDefault="001012AF" w:rsidP="00A17557">
            <w:pPr>
              <w:widowControl w:val="0"/>
              <w:jc w:val="center"/>
            </w:pPr>
            <w:r w:rsidRPr="00E73E80">
              <w:t>2365</w:t>
            </w:r>
          </w:p>
        </w:tc>
      </w:tr>
      <w:tr w:rsidR="001012AF" w:rsidRPr="00E73E80" w14:paraId="52FC3F7D" w14:textId="77777777" w:rsidTr="0004162F">
        <w:trPr>
          <w:jc w:val="center"/>
        </w:trPr>
        <w:tc>
          <w:tcPr>
            <w:tcW w:w="5625" w:type="dxa"/>
          </w:tcPr>
          <w:p w14:paraId="20A5133B" w14:textId="77777777" w:rsidR="001012AF" w:rsidRPr="00E73E80" w:rsidRDefault="001012AF" w:rsidP="00A17557">
            <w:pPr>
              <w:widowControl w:val="0"/>
              <w:jc w:val="both"/>
            </w:pPr>
            <w:r w:rsidRPr="00E73E80">
              <w:t>Кредиты выданные</w:t>
            </w:r>
          </w:p>
        </w:tc>
        <w:tc>
          <w:tcPr>
            <w:tcW w:w="2655" w:type="dxa"/>
          </w:tcPr>
          <w:p w14:paraId="77DF779A" w14:textId="77777777" w:rsidR="001012AF" w:rsidRPr="00E73E80" w:rsidRDefault="001012AF" w:rsidP="00A17557">
            <w:pPr>
              <w:widowControl w:val="0"/>
              <w:jc w:val="center"/>
            </w:pPr>
            <w:r w:rsidRPr="00E73E80">
              <w:t>16526</w:t>
            </w:r>
          </w:p>
        </w:tc>
      </w:tr>
      <w:tr w:rsidR="001012AF" w:rsidRPr="00E73E80" w14:paraId="4281D0BF" w14:textId="77777777" w:rsidTr="0004162F">
        <w:trPr>
          <w:jc w:val="center"/>
        </w:trPr>
        <w:tc>
          <w:tcPr>
            <w:tcW w:w="5625" w:type="dxa"/>
          </w:tcPr>
          <w:p w14:paraId="321C71A8" w14:textId="77777777" w:rsidR="001012AF" w:rsidRPr="00E73E80" w:rsidRDefault="001012AF" w:rsidP="00A17557">
            <w:pPr>
              <w:widowControl w:val="0"/>
              <w:jc w:val="both"/>
            </w:pPr>
            <w:r w:rsidRPr="00E73E80">
              <w:t>Счета предприятий и организаций</w:t>
            </w:r>
          </w:p>
        </w:tc>
        <w:tc>
          <w:tcPr>
            <w:tcW w:w="2655" w:type="dxa"/>
          </w:tcPr>
          <w:p w14:paraId="08410C4E" w14:textId="77777777" w:rsidR="001012AF" w:rsidRPr="00E73E80" w:rsidRDefault="001012AF" w:rsidP="00A17557">
            <w:pPr>
              <w:widowControl w:val="0"/>
              <w:jc w:val="center"/>
            </w:pPr>
            <w:r w:rsidRPr="00E73E80">
              <w:t>8775</w:t>
            </w:r>
          </w:p>
        </w:tc>
      </w:tr>
      <w:tr w:rsidR="001012AF" w:rsidRPr="00E73E80" w14:paraId="425F487D" w14:textId="77777777" w:rsidTr="0004162F">
        <w:trPr>
          <w:jc w:val="center"/>
        </w:trPr>
        <w:tc>
          <w:tcPr>
            <w:tcW w:w="5625" w:type="dxa"/>
          </w:tcPr>
          <w:p w14:paraId="09320303" w14:textId="77777777" w:rsidR="001012AF" w:rsidRPr="00E73E80" w:rsidRDefault="001012AF" w:rsidP="00A17557">
            <w:pPr>
              <w:widowControl w:val="0"/>
              <w:jc w:val="both"/>
            </w:pPr>
            <w:r w:rsidRPr="00E73E80">
              <w:t>Активы</w:t>
            </w:r>
          </w:p>
        </w:tc>
        <w:tc>
          <w:tcPr>
            <w:tcW w:w="2655" w:type="dxa"/>
          </w:tcPr>
          <w:p w14:paraId="5EAA327A" w14:textId="77777777" w:rsidR="001012AF" w:rsidRPr="00E73E80" w:rsidRDefault="001012AF" w:rsidP="00A17557">
            <w:pPr>
              <w:widowControl w:val="0"/>
              <w:jc w:val="center"/>
            </w:pPr>
            <w:r w:rsidRPr="00E73E80">
              <w:t>28022</w:t>
            </w:r>
          </w:p>
        </w:tc>
      </w:tr>
      <w:tr w:rsidR="001012AF" w:rsidRPr="00E73E80" w14:paraId="25B96678" w14:textId="77777777" w:rsidTr="0004162F">
        <w:trPr>
          <w:jc w:val="center"/>
        </w:trPr>
        <w:tc>
          <w:tcPr>
            <w:tcW w:w="5625" w:type="dxa"/>
          </w:tcPr>
          <w:p w14:paraId="5C6CB8E7" w14:textId="77777777" w:rsidR="001012AF" w:rsidRPr="00E73E80" w:rsidRDefault="001012AF" w:rsidP="00A17557">
            <w:pPr>
              <w:widowControl w:val="0"/>
              <w:jc w:val="both"/>
            </w:pPr>
            <w:r w:rsidRPr="00E73E80">
              <w:t>Обязательства до востребования</w:t>
            </w:r>
          </w:p>
        </w:tc>
        <w:tc>
          <w:tcPr>
            <w:tcW w:w="2655" w:type="dxa"/>
          </w:tcPr>
          <w:p w14:paraId="51FE596C" w14:textId="77777777" w:rsidR="001012AF" w:rsidRPr="00E73E80" w:rsidRDefault="001012AF" w:rsidP="00A17557">
            <w:pPr>
              <w:widowControl w:val="0"/>
              <w:jc w:val="center"/>
            </w:pPr>
            <w:r w:rsidRPr="00E73E80">
              <w:t>1275</w:t>
            </w:r>
          </w:p>
        </w:tc>
      </w:tr>
      <w:tr w:rsidR="001012AF" w:rsidRPr="00E73E80" w14:paraId="435700AE" w14:textId="77777777" w:rsidTr="0004162F">
        <w:trPr>
          <w:jc w:val="center"/>
        </w:trPr>
        <w:tc>
          <w:tcPr>
            <w:tcW w:w="5625" w:type="dxa"/>
          </w:tcPr>
          <w:p w14:paraId="549CC217" w14:textId="77777777" w:rsidR="001012AF" w:rsidRPr="00E73E80" w:rsidRDefault="001012AF" w:rsidP="00A17557">
            <w:pPr>
              <w:widowControl w:val="0"/>
              <w:jc w:val="both"/>
            </w:pPr>
            <w:r w:rsidRPr="00E73E80">
              <w:t>Прибыль банка</w:t>
            </w:r>
          </w:p>
        </w:tc>
        <w:tc>
          <w:tcPr>
            <w:tcW w:w="2655" w:type="dxa"/>
          </w:tcPr>
          <w:p w14:paraId="1CCEC48C" w14:textId="77777777" w:rsidR="001012AF" w:rsidRPr="00E73E80" w:rsidRDefault="001012AF" w:rsidP="00A17557">
            <w:pPr>
              <w:widowControl w:val="0"/>
              <w:jc w:val="center"/>
            </w:pPr>
            <w:r w:rsidRPr="00E73E80">
              <w:t>1319</w:t>
            </w:r>
          </w:p>
        </w:tc>
      </w:tr>
    </w:tbl>
    <w:p w14:paraId="7BC1FA89" w14:textId="77777777" w:rsidR="001012AF" w:rsidRPr="00E73E80" w:rsidRDefault="001012AF" w:rsidP="001012AF">
      <w:pPr>
        <w:widowControl w:val="0"/>
        <w:jc w:val="both"/>
      </w:pPr>
    </w:p>
    <w:p w14:paraId="5BB5461D" w14:textId="3A83DE27" w:rsidR="001012AF" w:rsidRDefault="001012AF" w:rsidP="001012AF">
      <w:pPr>
        <w:widowControl w:val="0"/>
        <w:ind w:firstLine="709"/>
        <w:jc w:val="both"/>
        <w:rPr>
          <w:sz w:val="28"/>
          <w:szCs w:val="28"/>
        </w:rPr>
      </w:pPr>
      <w:r w:rsidRPr="00E73E80">
        <w:rPr>
          <w:sz w:val="28"/>
          <w:szCs w:val="28"/>
        </w:rPr>
        <w:t>Укажите статьи, которые сопряжены с рисками банковской деятельности, какие риски могут повлиять на ухудшение экономического положения банка?  Подготовьте проект управленческого решения в виде служебной записки о возможных мерах по снижению выявленных рисков.</w:t>
      </w:r>
    </w:p>
    <w:p w14:paraId="6FEE3EC1" w14:textId="2C0DFE5D" w:rsidR="008B550B" w:rsidRPr="0004162F" w:rsidRDefault="008B550B" w:rsidP="001012AF">
      <w:pPr>
        <w:widowControl w:val="0"/>
        <w:ind w:firstLine="709"/>
        <w:jc w:val="both"/>
        <w:rPr>
          <w:b/>
          <w:sz w:val="28"/>
          <w:szCs w:val="28"/>
          <w:lang w:val="en-US"/>
        </w:rPr>
      </w:pPr>
      <w:r w:rsidRPr="0004162F">
        <w:rPr>
          <w:b/>
          <w:sz w:val="28"/>
          <w:szCs w:val="28"/>
        </w:rPr>
        <w:t>Решение</w:t>
      </w:r>
      <w:r w:rsidRPr="0004162F">
        <w:rPr>
          <w:b/>
          <w:sz w:val="28"/>
          <w:szCs w:val="28"/>
          <w:lang w:val="en-US"/>
        </w:rPr>
        <w:t>:</w:t>
      </w:r>
    </w:p>
    <w:p w14:paraId="2FE40463" w14:textId="6B8BCBAF" w:rsidR="008B550B" w:rsidRDefault="008B550B" w:rsidP="001012AF">
      <w:pPr>
        <w:widowControl w:val="0"/>
        <w:ind w:firstLine="709"/>
        <w:jc w:val="both"/>
        <w:rPr>
          <w:sz w:val="28"/>
          <w:szCs w:val="28"/>
        </w:rPr>
      </w:pPr>
      <w:r>
        <w:rPr>
          <w:sz w:val="28"/>
          <w:szCs w:val="28"/>
        </w:rPr>
        <w:t>Произведем расчет показателей рентабельности данного банка</w:t>
      </w:r>
      <w:r w:rsidRPr="008B550B">
        <w:rPr>
          <w:sz w:val="28"/>
          <w:szCs w:val="28"/>
        </w:rPr>
        <w:t>:</w:t>
      </w:r>
    </w:p>
    <w:p w14:paraId="4F390750" w14:textId="2AF8E06F" w:rsidR="008B550B" w:rsidRDefault="008B550B" w:rsidP="001012AF">
      <w:pPr>
        <w:widowControl w:val="0"/>
        <w:ind w:firstLine="709"/>
        <w:jc w:val="both"/>
        <w:rPr>
          <w:sz w:val="28"/>
          <w:szCs w:val="28"/>
        </w:rPr>
      </w:pPr>
      <w:r w:rsidRPr="008B550B">
        <w:rPr>
          <w:sz w:val="28"/>
          <w:szCs w:val="28"/>
        </w:rPr>
        <w:t>Общий уровень рентабельности банка (Rобщ) позволяет оценить общую прибыльность банка, а также прибыль, приходящуюся на 1 руб. дохода (доля прибыли в доходах):</w:t>
      </w:r>
    </w:p>
    <w:p w14:paraId="6D11ED16" w14:textId="7A361030" w:rsidR="008B550B" w:rsidRDefault="008B550B" w:rsidP="001012AF">
      <w:pPr>
        <w:widowControl w:val="0"/>
        <w:ind w:firstLine="709"/>
        <w:jc w:val="both"/>
        <w:rPr>
          <w:sz w:val="28"/>
          <w:szCs w:val="28"/>
        </w:rPr>
      </w:pPr>
      <w:r>
        <w:rPr>
          <w:sz w:val="28"/>
          <w:szCs w:val="28"/>
        </w:rPr>
        <w:t>Рентабельность общая = 1319</w:t>
      </w:r>
      <w:r>
        <w:rPr>
          <w:sz w:val="28"/>
          <w:szCs w:val="28"/>
          <w:lang w:val="en-US"/>
        </w:rPr>
        <w:t>/</w:t>
      </w:r>
      <w:r>
        <w:rPr>
          <w:sz w:val="28"/>
          <w:szCs w:val="28"/>
        </w:rPr>
        <w:t>(</w:t>
      </w:r>
      <w:r>
        <w:rPr>
          <w:sz w:val="28"/>
          <w:szCs w:val="28"/>
          <w:lang w:val="en-US"/>
        </w:rPr>
        <w:t>5907</w:t>
      </w:r>
      <w:r>
        <w:rPr>
          <w:sz w:val="28"/>
          <w:szCs w:val="28"/>
        </w:rPr>
        <w:t>+2365)*100</w:t>
      </w:r>
      <w:r>
        <w:rPr>
          <w:sz w:val="28"/>
          <w:szCs w:val="28"/>
          <w:lang w:val="en-US"/>
        </w:rPr>
        <w:t xml:space="preserve"> = </w:t>
      </w:r>
      <w:r>
        <w:rPr>
          <w:sz w:val="28"/>
          <w:szCs w:val="28"/>
        </w:rPr>
        <w:t>15,9 %</w:t>
      </w:r>
    </w:p>
    <w:p w14:paraId="7E3BD837" w14:textId="77777777" w:rsidR="008B550B" w:rsidRPr="008B550B" w:rsidRDefault="008B550B" w:rsidP="008B550B">
      <w:pPr>
        <w:widowControl w:val="0"/>
        <w:ind w:firstLine="709"/>
        <w:jc w:val="both"/>
        <w:rPr>
          <w:sz w:val="28"/>
          <w:szCs w:val="28"/>
        </w:rPr>
      </w:pPr>
      <w:r w:rsidRPr="008B550B">
        <w:rPr>
          <w:sz w:val="28"/>
          <w:szCs w:val="28"/>
        </w:rPr>
        <w:t>Данный показатель может быть уточнен с помощью ряда коэффициентов, характеризующих степень прибыльности активных и кредитных операций.</w:t>
      </w:r>
    </w:p>
    <w:p w14:paraId="58E2C312" w14:textId="77777777" w:rsidR="008B550B" w:rsidRPr="008B550B" w:rsidRDefault="008B550B" w:rsidP="008B550B">
      <w:pPr>
        <w:widowControl w:val="0"/>
        <w:ind w:firstLine="709"/>
        <w:jc w:val="both"/>
        <w:rPr>
          <w:sz w:val="28"/>
          <w:szCs w:val="28"/>
        </w:rPr>
      </w:pPr>
      <w:r w:rsidRPr="008B550B">
        <w:rPr>
          <w:sz w:val="28"/>
          <w:szCs w:val="28"/>
        </w:rPr>
        <w:t>Основным показателем доходности банка является показатель, отражающий отдачу собственного капитала:</w:t>
      </w:r>
    </w:p>
    <w:p w14:paraId="071808D6" w14:textId="41C25395" w:rsidR="008B550B" w:rsidRDefault="008B550B" w:rsidP="008B550B">
      <w:pPr>
        <w:widowControl w:val="0"/>
        <w:ind w:firstLine="709"/>
        <w:jc w:val="both"/>
        <w:rPr>
          <w:sz w:val="28"/>
          <w:szCs w:val="28"/>
          <w:lang w:val="en-US"/>
        </w:rPr>
      </w:pPr>
      <w:r w:rsidRPr="008B550B">
        <w:rPr>
          <w:sz w:val="28"/>
          <w:szCs w:val="28"/>
        </w:rPr>
        <w:t>K1 =</w:t>
      </w:r>
      <w:r>
        <w:rPr>
          <w:sz w:val="28"/>
          <w:szCs w:val="28"/>
        </w:rPr>
        <w:t xml:space="preserve"> 1319/</w:t>
      </w:r>
      <w:r>
        <w:rPr>
          <w:sz w:val="28"/>
          <w:szCs w:val="28"/>
          <w:lang w:val="en-US"/>
        </w:rPr>
        <w:t>3811*100 = 34,61%</w:t>
      </w:r>
    </w:p>
    <w:p w14:paraId="2A11D972" w14:textId="6E56FE07" w:rsidR="008B550B" w:rsidRPr="008B550B" w:rsidRDefault="008B550B" w:rsidP="008B550B">
      <w:pPr>
        <w:widowControl w:val="0"/>
        <w:ind w:firstLine="709"/>
        <w:jc w:val="both"/>
        <w:rPr>
          <w:sz w:val="28"/>
          <w:szCs w:val="28"/>
        </w:rPr>
      </w:pPr>
      <w:r w:rsidRPr="008B550B">
        <w:rPr>
          <w:sz w:val="28"/>
          <w:szCs w:val="28"/>
        </w:rPr>
        <w:t>Данный показатель характеризует прибыль, приходящуюся на 1 руб. акционерного капитала (уставного фонда). Знаменатель можно расширить введением всех собственных средств банка. Акционеры (пайщики) банка, сопоставив значения этого показателя в разных банках, могут принимать реше</w:t>
      </w:r>
      <w:r>
        <w:rPr>
          <w:sz w:val="28"/>
          <w:szCs w:val="28"/>
        </w:rPr>
        <w:t>ние о размещении своих средств.</w:t>
      </w:r>
    </w:p>
    <w:p w14:paraId="570D5C16" w14:textId="1A5C408B" w:rsidR="008B550B" w:rsidRDefault="008B550B" w:rsidP="008B550B">
      <w:pPr>
        <w:widowControl w:val="0"/>
        <w:ind w:firstLine="709"/>
        <w:jc w:val="both"/>
        <w:rPr>
          <w:sz w:val="28"/>
          <w:szCs w:val="28"/>
        </w:rPr>
      </w:pPr>
      <w:r w:rsidRPr="008B550B">
        <w:rPr>
          <w:sz w:val="28"/>
          <w:szCs w:val="28"/>
        </w:rPr>
        <w:t xml:space="preserve">Показатель доходности банка </w:t>
      </w:r>
      <w:r w:rsidRPr="008B550B">
        <w:rPr>
          <w:sz w:val="28"/>
          <w:szCs w:val="28"/>
          <w:lang w:val="en-US"/>
        </w:rPr>
        <w:t>K</w:t>
      </w:r>
      <w:r w:rsidRPr="008B550B">
        <w:rPr>
          <w:sz w:val="28"/>
          <w:szCs w:val="28"/>
        </w:rPr>
        <w:t>1 зависит от прибыльности активов (К2) и коэффициента достаточности капитала (К3), что выражается формулой:</w:t>
      </w:r>
    </w:p>
    <w:p w14:paraId="6024C606" w14:textId="46E4D9CB" w:rsidR="008B550B" w:rsidRDefault="008B550B" w:rsidP="008B550B">
      <w:pPr>
        <w:widowControl w:val="0"/>
        <w:ind w:firstLine="709"/>
        <w:jc w:val="both"/>
        <w:rPr>
          <w:sz w:val="28"/>
          <w:szCs w:val="28"/>
          <w:lang w:val="en-US"/>
        </w:rPr>
      </w:pPr>
      <w:r>
        <w:rPr>
          <w:sz w:val="28"/>
          <w:szCs w:val="28"/>
          <w:lang w:val="en-US"/>
        </w:rPr>
        <w:t>K2 = 1319/(3811+5907+2365)*100 = 10,91%</w:t>
      </w:r>
    </w:p>
    <w:p w14:paraId="1AF6C399" w14:textId="77777777" w:rsidR="0004162F" w:rsidRPr="0004162F" w:rsidRDefault="008B550B" w:rsidP="0004162F">
      <w:pPr>
        <w:widowControl w:val="0"/>
        <w:ind w:firstLine="709"/>
        <w:jc w:val="both"/>
        <w:rPr>
          <w:sz w:val="28"/>
          <w:szCs w:val="28"/>
        </w:rPr>
      </w:pPr>
      <w:r>
        <w:rPr>
          <w:sz w:val="28"/>
          <w:szCs w:val="28"/>
        </w:rPr>
        <w:t xml:space="preserve">Рентабельность собственного капитала = </w:t>
      </w:r>
      <w:r w:rsidR="0004162F">
        <w:rPr>
          <w:sz w:val="28"/>
          <w:szCs w:val="28"/>
        </w:rPr>
        <w:t>1319/</w:t>
      </w:r>
      <w:r w:rsidR="0004162F" w:rsidRPr="0004162F">
        <w:rPr>
          <w:sz w:val="28"/>
          <w:szCs w:val="28"/>
        </w:rPr>
        <w:t>3811*100 = 34,61%</w:t>
      </w:r>
    </w:p>
    <w:p w14:paraId="54841484" w14:textId="4283D9CE" w:rsidR="008B550B" w:rsidRPr="0004162F" w:rsidRDefault="0004162F" w:rsidP="008B550B">
      <w:pPr>
        <w:widowControl w:val="0"/>
        <w:ind w:firstLine="709"/>
        <w:jc w:val="both"/>
        <w:rPr>
          <w:sz w:val="28"/>
          <w:szCs w:val="28"/>
        </w:rPr>
      </w:pPr>
      <w:r>
        <w:rPr>
          <w:sz w:val="28"/>
          <w:szCs w:val="28"/>
        </w:rPr>
        <w:t>Обязательства у данного банка небольшие, что говорит о высокой эффективности работы банка, также объем дебиторской задолженности в виде кредитов выданных составляет 16526/28022*100 = 58,97%, что позволяет сделать вывод о стабильном экономическом положении банка.</w:t>
      </w:r>
    </w:p>
    <w:p w14:paraId="4D2886A4" w14:textId="37F36505" w:rsidR="008B550B" w:rsidRDefault="0004162F" w:rsidP="001012AF">
      <w:pPr>
        <w:widowControl w:val="0"/>
        <w:ind w:firstLine="709"/>
        <w:jc w:val="both"/>
        <w:rPr>
          <w:sz w:val="28"/>
          <w:szCs w:val="28"/>
        </w:rPr>
      </w:pPr>
      <w:r>
        <w:rPr>
          <w:sz w:val="28"/>
          <w:szCs w:val="28"/>
        </w:rPr>
        <w:t>Статьи в данном случае подверженные риску</w:t>
      </w:r>
      <w:r w:rsidRPr="0004162F">
        <w:rPr>
          <w:sz w:val="28"/>
          <w:szCs w:val="28"/>
        </w:rPr>
        <w:t>:</w:t>
      </w:r>
      <w:r>
        <w:rPr>
          <w:sz w:val="28"/>
          <w:szCs w:val="28"/>
        </w:rPr>
        <w:t xml:space="preserve"> вклады населения, кредиты выданные и обязательства до востребования.</w:t>
      </w:r>
    </w:p>
    <w:p w14:paraId="0F7741E4" w14:textId="1EA1BC4E" w:rsidR="0004162F" w:rsidRDefault="0004162F" w:rsidP="001012AF">
      <w:pPr>
        <w:widowControl w:val="0"/>
        <w:ind w:firstLine="709"/>
        <w:jc w:val="both"/>
        <w:rPr>
          <w:sz w:val="28"/>
          <w:szCs w:val="28"/>
          <w:lang w:val="en-US"/>
        </w:rPr>
      </w:pPr>
      <w:r>
        <w:rPr>
          <w:sz w:val="28"/>
          <w:szCs w:val="28"/>
        </w:rPr>
        <w:t>Проект решения</w:t>
      </w:r>
      <w:r>
        <w:rPr>
          <w:sz w:val="28"/>
          <w:szCs w:val="28"/>
          <w:lang w:val="en-US"/>
        </w:rPr>
        <w:t>:</w:t>
      </w:r>
    </w:p>
    <w:p w14:paraId="3DC1C2FE" w14:textId="3E665B40" w:rsidR="0004162F" w:rsidRPr="0004162F" w:rsidRDefault="0004162F" w:rsidP="0004162F">
      <w:pPr>
        <w:widowControl w:val="0"/>
        <w:ind w:firstLine="709"/>
        <w:jc w:val="both"/>
        <w:rPr>
          <w:sz w:val="28"/>
          <w:szCs w:val="28"/>
        </w:rPr>
      </w:pPr>
      <w:r w:rsidRPr="0004162F">
        <w:rPr>
          <w:sz w:val="28"/>
          <w:szCs w:val="28"/>
        </w:rPr>
        <w:lastRenderedPageBreak/>
        <w:t>Когда банк увеличивает свои обязательства по оплате активов, он использует кредитное плечо - в противном случае прибыль банка будет ограничена комиссиями, которые он может взимать, и разницей в процентной ставке. Но разброс процентных ставок ограничен тем, что банк должен заплатить по своим обязательствам и что он может взимать со своих активов. Поскольку банки конкурируют друг с другом за вкладчиков, а депозиты конкурируют с другими инвестициями, банки должны платить минимальную рыночную ставку для привлечения вкладчиков. Точно так же банки могут взимать только определенную плату за ссуды, поскольку существует конкуренция со стороны других банков, и предприятия могут получать ссуды, продавая долговые ценные бумаги, коммерческие ценные бумаги или облигации на финансовых рынках.</w:t>
      </w:r>
    </w:p>
    <w:p w14:paraId="231E8815" w14:textId="21B42E99" w:rsidR="0004162F" w:rsidRDefault="0004162F" w:rsidP="001012AF">
      <w:pPr>
        <w:widowControl w:val="0"/>
        <w:ind w:firstLine="709"/>
        <w:jc w:val="both"/>
        <w:rPr>
          <w:sz w:val="28"/>
          <w:szCs w:val="28"/>
        </w:rPr>
      </w:pPr>
      <w:r w:rsidRPr="0004162F">
        <w:rPr>
          <w:sz w:val="28"/>
          <w:szCs w:val="28"/>
        </w:rPr>
        <w:t>Чтобы защитить безопасность банковской системы, Федеральная резервная система ограничивает размер кредитного плеча, который банки, являющиеся депозитными учреждениями, могут использовать. Как правило, коэффициент кредитного плеча составляет от 10 до 12. Другими словами, активы банка могут быть как минимум в 10 раз больше его капитала, но не намного.</w:t>
      </w:r>
    </w:p>
    <w:p w14:paraId="186C77CE" w14:textId="49BE0F45" w:rsidR="0004162F" w:rsidRPr="0004162F" w:rsidRDefault="0004162F" w:rsidP="0004162F">
      <w:pPr>
        <w:widowControl w:val="0"/>
        <w:ind w:firstLine="709"/>
        <w:jc w:val="both"/>
        <w:rPr>
          <w:sz w:val="28"/>
          <w:szCs w:val="28"/>
        </w:rPr>
      </w:pPr>
      <w:r w:rsidRPr="0004162F">
        <w:rPr>
          <w:sz w:val="28"/>
          <w:szCs w:val="28"/>
        </w:rPr>
        <w:t>Основная причина, по которой большинство инвестиционных банков не являлись депозитными учреждениями, заключалась в том, чтобы избежать таких ограничений, чтобы они могли получать сверхприбыль, используя чрезвычайно высокий кредитный рычаг. Вместо того, чтобы управлять риском с помощью резервов, эти банки управляли риском с помощью своих собственных финансовых моделей.</w:t>
      </w:r>
    </w:p>
    <w:p w14:paraId="0A0AAF98" w14:textId="1B5CA7E1" w:rsidR="001012AF" w:rsidRDefault="001012AF" w:rsidP="001012AF">
      <w:pPr>
        <w:widowControl w:val="0"/>
        <w:tabs>
          <w:tab w:val="left" w:pos="1134"/>
        </w:tabs>
        <w:ind w:firstLine="680"/>
        <w:jc w:val="both"/>
        <w:rPr>
          <w:b/>
          <w:sz w:val="28"/>
          <w:szCs w:val="28"/>
        </w:rPr>
      </w:pPr>
    </w:p>
    <w:p w14:paraId="4CA12619" w14:textId="5D3F723C" w:rsidR="0004162F" w:rsidRDefault="0004162F" w:rsidP="001012AF">
      <w:pPr>
        <w:widowControl w:val="0"/>
        <w:tabs>
          <w:tab w:val="left" w:pos="1134"/>
        </w:tabs>
        <w:ind w:firstLine="680"/>
        <w:jc w:val="both"/>
        <w:rPr>
          <w:b/>
          <w:sz w:val="28"/>
          <w:szCs w:val="28"/>
        </w:rPr>
      </w:pPr>
    </w:p>
    <w:p w14:paraId="660E49E0" w14:textId="4D350DA9" w:rsidR="0004162F" w:rsidRDefault="0004162F" w:rsidP="001012AF">
      <w:pPr>
        <w:widowControl w:val="0"/>
        <w:tabs>
          <w:tab w:val="left" w:pos="1134"/>
        </w:tabs>
        <w:ind w:firstLine="680"/>
        <w:jc w:val="both"/>
        <w:rPr>
          <w:b/>
          <w:sz w:val="28"/>
          <w:szCs w:val="28"/>
        </w:rPr>
      </w:pPr>
    </w:p>
    <w:p w14:paraId="0759ECD5" w14:textId="1FDF5217" w:rsidR="0004162F" w:rsidRDefault="0004162F" w:rsidP="001012AF">
      <w:pPr>
        <w:widowControl w:val="0"/>
        <w:tabs>
          <w:tab w:val="left" w:pos="1134"/>
        </w:tabs>
        <w:ind w:firstLine="680"/>
        <w:jc w:val="both"/>
        <w:rPr>
          <w:b/>
          <w:sz w:val="28"/>
          <w:szCs w:val="28"/>
        </w:rPr>
      </w:pPr>
    </w:p>
    <w:p w14:paraId="555D045C" w14:textId="6C7D2C9D" w:rsidR="0004162F" w:rsidRDefault="0004162F" w:rsidP="001012AF">
      <w:pPr>
        <w:widowControl w:val="0"/>
        <w:tabs>
          <w:tab w:val="left" w:pos="1134"/>
        </w:tabs>
        <w:ind w:firstLine="680"/>
        <w:jc w:val="both"/>
        <w:rPr>
          <w:b/>
          <w:sz w:val="28"/>
          <w:szCs w:val="28"/>
        </w:rPr>
      </w:pPr>
    </w:p>
    <w:p w14:paraId="19257228" w14:textId="4C992A65" w:rsidR="0004162F" w:rsidRDefault="0004162F" w:rsidP="001012AF">
      <w:pPr>
        <w:widowControl w:val="0"/>
        <w:tabs>
          <w:tab w:val="left" w:pos="1134"/>
        </w:tabs>
        <w:ind w:firstLine="680"/>
        <w:jc w:val="both"/>
        <w:rPr>
          <w:b/>
          <w:sz w:val="28"/>
          <w:szCs w:val="28"/>
        </w:rPr>
      </w:pPr>
    </w:p>
    <w:p w14:paraId="2AFC3192" w14:textId="28066F74" w:rsidR="0004162F" w:rsidRDefault="0004162F" w:rsidP="001012AF">
      <w:pPr>
        <w:widowControl w:val="0"/>
        <w:tabs>
          <w:tab w:val="left" w:pos="1134"/>
        </w:tabs>
        <w:ind w:firstLine="680"/>
        <w:jc w:val="both"/>
        <w:rPr>
          <w:b/>
          <w:sz w:val="28"/>
          <w:szCs w:val="28"/>
        </w:rPr>
      </w:pPr>
    </w:p>
    <w:p w14:paraId="19EE7E93" w14:textId="6D7A812D" w:rsidR="0004162F" w:rsidRDefault="0004162F" w:rsidP="001012AF">
      <w:pPr>
        <w:widowControl w:val="0"/>
        <w:tabs>
          <w:tab w:val="left" w:pos="1134"/>
        </w:tabs>
        <w:ind w:firstLine="680"/>
        <w:jc w:val="both"/>
        <w:rPr>
          <w:b/>
          <w:sz w:val="28"/>
          <w:szCs w:val="28"/>
        </w:rPr>
      </w:pPr>
    </w:p>
    <w:p w14:paraId="0FBA88E5" w14:textId="02228240" w:rsidR="0004162F" w:rsidRDefault="0004162F" w:rsidP="001012AF">
      <w:pPr>
        <w:widowControl w:val="0"/>
        <w:tabs>
          <w:tab w:val="left" w:pos="1134"/>
        </w:tabs>
        <w:ind w:firstLine="680"/>
        <w:jc w:val="both"/>
        <w:rPr>
          <w:b/>
          <w:sz w:val="28"/>
          <w:szCs w:val="28"/>
        </w:rPr>
      </w:pPr>
    </w:p>
    <w:p w14:paraId="00EB888D" w14:textId="66E23EA6" w:rsidR="0004162F" w:rsidRDefault="0004162F" w:rsidP="001012AF">
      <w:pPr>
        <w:widowControl w:val="0"/>
        <w:tabs>
          <w:tab w:val="left" w:pos="1134"/>
        </w:tabs>
        <w:ind w:firstLine="680"/>
        <w:jc w:val="both"/>
        <w:rPr>
          <w:b/>
          <w:sz w:val="28"/>
          <w:szCs w:val="28"/>
        </w:rPr>
      </w:pPr>
    </w:p>
    <w:p w14:paraId="108A4456" w14:textId="236C5C67" w:rsidR="0004162F" w:rsidRDefault="0004162F" w:rsidP="001012AF">
      <w:pPr>
        <w:widowControl w:val="0"/>
        <w:tabs>
          <w:tab w:val="left" w:pos="1134"/>
        </w:tabs>
        <w:ind w:firstLine="680"/>
        <w:jc w:val="both"/>
        <w:rPr>
          <w:b/>
          <w:sz w:val="28"/>
          <w:szCs w:val="28"/>
        </w:rPr>
      </w:pPr>
    </w:p>
    <w:p w14:paraId="0F21A7FF" w14:textId="1936AD8B" w:rsidR="0004162F" w:rsidRDefault="0004162F" w:rsidP="001012AF">
      <w:pPr>
        <w:widowControl w:val="0"/>
        <w:tabs>
          <w:tab w:val="left" w:pos="1134"/>
        </w:tabs>
        <w:ind w:firstLine="680"/>
        <w:jc w:val="both"/>
        <w:rPr>
          <w:b/>
          <w:sz w:val="28"/>
          <w:szCs w:val="28"/>
        </w:rPr>
      </w:pPr>
    </w:p>
    <w:p w14:paraId="61AC610C" w14:textId="2D13E200" w:rsidR="0004162F" w:rsidRDefault="0004162F" w:rsidP="001012AF">
      <w:pPr>
        <w:widowControl w:val="0"/>
        <w:tabs>
          <w:tab w:val="left" w:pos="1134"/>
        </w:tabs>
        <w:ind w:firstLine="680"/>
        <w:jc w:val="both"/>
        <w:rPr>
          <w:b/>
          <w:sz w:val="28"/>
          <w:szCs w:val="28"/>
        </w:rPr>
      </w:pPr>
    </w:p>
    <w:p w14:paraId="6ED1EF44" w14:textId="06D4F8AC" w:rsidR="0004162F" w:rsidRDefault="0004162F" w:rsidP="001012AF">
      <w:pPr>
        <w:widowControl w:val="0"/>
        <w:tabs>
          <w:tab w:val="left" w:pos="1134"/>
        </w:tabs>
        <w:ind w:firstLine="680"/>
        <w:jc w:val="both"/>
        <w:rPr>
          <w:b/>
          <w:sz w:val="28"/>
          <w:szCs w:val="28"/>
        </w:rPr>
      </w:pPr>
    </w:p>
    <w:p w14:paraId="3354806E" w14:textId="4BCFBA4D" w:rsidR="0004162F" w:rsidRDefault="0004162F" w:rsidP="001012AF">
      <w:pPr>
        <w:widowControl w:val="0"/>
        <w:tabs>
          <w:tab w:val="left" w:pos="1134"/>
        </w:tabs>
        <w:ind w:firstLine="680"/>
        <w:jc w:val="both"/>
        <w:rPr>
          <w:b/>
          <w:sz w:val="28"/>
          <w:szCs w:val="28"/>
        </w:rPr>
      </w:pPr>
    </w:p>
    <w:p w14:paraId="7B2AFA9B" w14:textId="3A43C03E" w:rsidR="0004162F" w:rsidRDefault="0004162F" w:rsidP="001012AF">
      <w:pPr>
        <w:widowControl w:val="0"/>
        <w:tabs>
          <w:tab w:val="left" w:pos="1134"/>
        </w:tabs>
        <w:ind w:firstLine="680"/>
        <w:jc w:val="both"/>
        <w:rPr>
          <w:b/>
          <w:sz w:val="28"/>
          <w:szCs w:val="28"/>
        </w:rPr>
      </w:pPr>
    </w:p>
    <w:p w14:paraId="5432D873" w14:textId="3DA68A05" w:rsidR="00E64BC6" w:rsidRDefault="00E64BC6" w:rsidP="001012AF">
      <w:pPr>
        <w:widowControl w:val="0"/>
        <w:tabs>
          <w:tab w:val="left" w:pos="1134"/>
        </w:tabs>
        <w:ind w:firstLine="680"/>
        <w:jc w:val="both"/>
        <w:rPr>
          <w:b/>
          <w:sz w:val="28"/>
          <w:szCs w:val="28"/>
        </w:rPr>
      </w:pPr>
    </w:p>
    <w:p w14:paraId="3909BE47" w14:textId="77777777" w:rsidR="00E64BC6" w:rsidRDefault="00E64BC6" w:rsidP="001012AF">
      <w:pPr>
        <w:widowControl w:val="0"/>
        <w:tabs>
          <w:tab w:val="left" w:pos="1134"/>
        </w:tabs>
        <w:ind w:firstLine="680"/>
        <w:jc w:val="both"/>
        <w:rPr>
          <w:b/>
          <w:sz w:val="28"/>
          <w:szCs w:val="28"/>
        </w:rPr>
      </w:pPr>
    </w:p>
    <w:p w14:paraId="49D49657" w14:textId="7B985561" w:rsidR="0004162F" w:rsidRDefault="0004162F" w:rsidP="001012AF">
      <w:pPr>
        <w:widowControl w:val="0"/>
        <w:tabs>
          <w:tab w:val="left" w:pos="1134"/>
        </w:tabs>
        <w:ind w:firstLine="680"/>
        <w:jc w:val="both"/>
        <w:rPr>
          <w:b/>
          <w:sz w:val="28"/>
          <w:szCs w:val="28"/>
        </w:rPr>
      </w:pPr>
    </w:p>
    <w:p w14:paraId="1E1058E9" w14:textId="742FA10F" w:rsidR="0004162F" w:rsidRDefault="0004162F" w:rsidP="001012AF">
      <w:pPr>
        <w:widowControl w:val="0"/>
        <w:tabs>
          <w:tab w:val="left" w:pos="1134"/>
        </w:tabs>
        <w:ind w:firstLine="680"/>
        <w:jc w:val="both"/>
        <w:rPr>
          <w:b/>
          <w:sz w:val="28"/>
          <w:szCs w:val="28"/>
        </w:rPr>
      </w:pPr>
    </w:p>
    <w:p w14:paraId="2A45D83C" w14:textId="4F9CB0A5" w:rsidR="0004162F" w:rsidRDefault="0004162F" w:rsidP="001012AF">
      <w:pPr>
        <w:widowControl w:val="0"/>
        <w:tabs>
          <w:tab w:val="left" w:pos="1134"/>
        </w:tabs>
        <w:ind w:firstLine="680"/>
        <w:jc w:val="both"/>
        <w:rPr>
          <w:b/>
          <w:sz w:val="28"/>
          <w:szCs w:val="28"/>
        </w:rPr>
      </w:pPr>
    </w:p>
    <w:p w14:paraId="64B25706" w14:textId="1594D70C" w:rsidR="001012AF" w:rsidRPr="00E73E80" w:rsidRDefault="001012AF" w:rsidP="001012AF">
      <w:pPr>
        <w:widowControl w:val="0"/>
        <w:tabs>
          <w:tab w:val="left" w:pos="1134"/>
        </w:tabs>
        <w:ind w:firstLine="680"/>
        <w:jc w:val="both"/>
        <w:rPr>
          <w:sz w:val="28"/>
          <w:szCs w:val="28"/>
        </w:rPr>
      </w:pPr>
      <w:r w:rsidRPr="00E73E80">
        <w:rPr>
          <w:b/>
          <w:sz w:val="28"/>
          <w:szCs w:val="28"/>
        </w:rPr>
        <w:lastRenderedPageBreak/>
        <w:t>Зада</w:t>
      </w:r>
      <w:r>
        <w:rPr>
          <w:b/>
          <w:sz w:val="28"/>
          <w:szCs w:val="28"/>
        </w:rPr>
        <w:t>ча</w:t>
      </w:r>
      <w:r w:rsidRPr="00E73E80">
        <w:rPr>
          <w:b/>
          <w:sz w:val="28"/>
          <w:szCs w:val="28"/>
        </w:rPr>
        <w:t xml:space="preserve"> 2.</w:t>
      </w:r>
      <w:r w:rsidRPr="00E73E80">
        <w:rPr>
          <w:sz w:val="28"/>
          <w:szCs w:val="28"/>
        </w:rPr>
        <w:t xml:space="preserve"> Проанализируйте данные таблицы (Приложение 1 к РПД), по расчету собственных средств (капитала) ПАО «Авангард» по форме 123 (Базель </w:t>
      </w:r>
      <w:r w:rsidRPr="00E73E80">
        <w:rPr>
          <w:sz w:val="28"/>
          <w:szCs w:val="28"/>
          <w:lang w:val="en-US"/>
        </w:rPr>
        <w:t>III</w:t>
      </w:r>
      <w:r w:rsidRPr="00E73E80">
        <w:rPr>
          <w:sz w:val="28"/>
          <w:szCs w:val="28"/>
        </w:rPr>
        <w:t>) ответьте на следующие вопросы:</w:t>
      </w:r>
    </w:p>
    <w:p w14:paraId="28C15ACC" w14:textId="77777777" w:rsidR="001012AF" w:rsidRPr="00E73E80" w:rsidRDefault="001012AF" w:rsidP="001012AF">
      <w:pPr>
        <w:pStyle w:val="a3"/>
        <w:widowControl w:val="0"/>
        <w:numPr>
          <w:ilvl w:val="0"/>
          <w:numId w:val="1"/>
        </w:numPr>
        <w:tabs>
          <w:tab w:val="left" w:pos="360"/>
        </w:tabs>
        <w:ind w:left="0" w:firstLine="360"/>
        <w:jc w:val="both"/>
        <w:rPr>
          <w:sz w:val="28"/>
          <w:szCs w:val="28"/>
        </w:rPr>
      </w:pPr>
      <w:r w:rsidRPr="00E73E80">
        <w:rPr>
          <w:sz w:val="28"/>
          <w:szCs w:val="28"/>
        </w:rPr>
        <w:t xml:space="preserve">Соответствует ли структура собственного капитала банка нормативным требованиям Банка России. </w:t>
      </w:r>
    </w:p>
    <w:p w14:paraId="1CC500E1" w14:textId="77777777" w:rsidR="001012AF" w:rsidRPr="00E73E80" w:rsidRDefault="001012AF" w:rsidP="001012AF">
      <w:pPr>
        <w:pStyle w:val="a3"/>
        <w:widowControl w:val="0"/>
        <w:numPr>
          <w:ilvl w:val="0"/>
          <w:numId w:val="1"/>
        </w:numPr>
        <w:tabs>
          <w:tab w:val="left" w:pos="360"/>
        </w:tabs>
        <w:ind w:left="0" w:firstLine="360"/>
        <w:jc w:val="both"/>
        <w:rPr>
          <w:sz w:val="28"/>
          <w:szCs w:val="28"/>
        </w:rPr>
      </w:pPr>
      <w:r w:rsidRPr="00E73E80">
        <w:rPr>
          <w:sz w:val="28"/>
          <w:szCs w:val="28"/>
        </w:rPr>
        <w:t>В каком документе отражены требования регулятора по нормативам элементов</w:t>
      </w:r>
      <w:r>
        <w:rPr>
          <w:sz w:val="28"/>
          <w:szCs w:val="28"/>
        </w:rPr>
        <w:t xml:space="preserve"> структуры</w:t>
      </w:r>
      <w:r w:rsidRPr="00E73E80">
        <w:rPr>
          <w:sz w:val="28"/>
          <w:szCs w:val="28"/>
        </w:rPr>
        <w:t xml:space="preserve"> собственного капитала российских банков?</w:t>
      </w:r>
    </w:p>
    <w:p w14:paraId="4CBF7721" w14:textId="77777777" w:rsidR="001012AF" w:rsidRPr="00E73E80" w:rsidRDefault="001012AF" w:rsidP="001012AF">
      <w:pPr>
        <w:widowControl w:val="0"/>
        <w:tabs>
          <w:tab w:val="left" w:pos="360"/>
        </w:tabs>
        <w:ind w:firstLine="360"/>
        <w:jc w:val="both"/>
        <w:rPr>
          <w:sz w:val="28"/>
          <w:szCs w:val="28"/>
        </w:rPr>
      </w:pPr>
      <w:r w:rsidRPr="00E73E80">
        <w:rPr>
          <w:sz w:val="28"/>
          <w:szCs w:val="28"/>
        </w:rPr>
        <w:t>Сделайте вывод о результативности работы данного банка по управлению собственным капиталом.</w:t>
      </w:r>
    </w:p>
    <w:p w14:paraId="050F2A00" w14:textId="77777777" w:rsidR="001012AF" w:rsidRDefault="001012AF" w:rsidP="001012AF">
      <w:pPr>
        <w:widowControl w:val="0"/>
        <w:tabs>
          <w:tab w:val="left" w:pos="851"/>
        </w:tabs>
        <w:ind w:right="425" w:firstLine="567"/>
        <w:jc w:val="center"/>
        <w:rPr>
          <w:b/>
          <w:sz w:val="28"/>
          <w:szCs w:val="28"/>
        </w:rPr>
      </w:pPr>
      <w:r>
        <w:rPr>
          <w:b/>
          <w:sz w:val="28"/>
          <w:szCs w:val="28"/>
        </w:rPr>
        <w:t>ПРИЛОЖЕНИЯ</w:t>
      </w:r>
    </w:p>
    <w:p w14:paraId="31CAF9F9" w14:textId="77777777" w:rsidR="001012AF" w:rsidRDefault="001012AF" w:rsidP="001012AF">
      <w:pPr>
        <w:widowControl w:val="0"/>
        <w:tabs>
          <w:tab w:val="left" w:pos="851"/>
        </w:tabs>
        <w:ind w:right="425" w:firstLine="567"/>
        <w:jc w:val="right"/>
        <w:rPr>
          <w:b/>
          <w:sz w:val="28"/>
          <w:szCs w:val="28"/>
        </w:rPr>
      </w:pPr>
      <w:r>
        <w:rPr>
          <w:b/>
          <w:sz w:val="28"/>
          <w:szCs w:val="28"/>
        </w:rPr>
        <w:t xml:space="preserve">Приложение 1 </w:t>
      </w:r>
    </w:p>
    <w:p w14:paraId="52E4933B" w14:textId="77777777" w:rsidR="001012AF" w:rsidRPr="00C67D0C" w:rsidRDefault="001012AF" w:rsidP="001012AF">
      <w:pPr>
        <w:pBdr>
          <w:between w:val="single" w:sz="4" w:space="1" w:color="auto"/>
        </w:pBdr>
        <w:shd w:val="clear" w:color="auto" w:fill="FFFFFF"/>
        <w:ind w:right="425"/>
        <w:jc w:val="right"/>
      </w:pPr>
      <w:r w:rsidRPr="00C67D0C">
        <w:t>тыс.руб</w:t>
      </w:r>
    </w:p>
    <w:tbl>
      <w:tblPr>
        <w:tblW w:w="10490" w:type="dxa"/>
        <w:tblCellSpacing w:w="20" w:type="dxa"/>
        <w:tblInd w:w="-8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350"/>
        <w:gridCol w:w="7409"/>
        <w:gridCol w:w="1731"/>
      </w:tblGrid>
      <w:tr w:rsidR="001012AF" w:rsidRPr="00707CE0" w14:paraId="4D6A7D56" w14:textId="77777777" w:rsidTr="00A17557">
        <w:trPr>
          <w:trHeight w:val="170"/>
          <w:tblCellSpacing w:w="20" w:type="dxa"/>
        </w:trPr>
        <w:tc>
          <w:tcPr>
            <w:tcW w:w="1291" w:type="dxa"/>
            <w:shd w:val="clear" w:color="auto" w:fill="auto"/>
            <w:vAlign w:val="center"/>
            <w:hideMark/>
          </w:tcPr>
          <w:p w14:paraId="25F12D1B" w14:textId="77777777" w:rsidR="001012AF" w:rsidRPr="00707CE0" w:rsidRDefault="001012AF" w:rsidP="00A17557">
            <w:pPr>
              <w:jc w:val="center"/>
              <w:rPr>
                <w:b/>
                <w:bCs/>
                <w:color w:val="000000"/>
                <w:sz w:val="22"/>
                <w:szCs w:val="22"/>
              </w:rPr>
            </w:pPr>
            <w:r w:rsidRPr="00707CE0">
              <w:rPr>
                <w:b/>
                <w:bCs/>
                <w:color w:val="000000"/>
                <w:sz w:val="22"/>
                <w:szCs w:val="22"/>
              </w:rPr>
              <w:t>Номер строки</w:t>
            </w:r>
          </w:p>
        </w:tc>
        <w:tc>
          <w:tcPr>
            <w:tcW w:w="7398" w:type="dxa"/>
            <w:shd w:val="clear" w:color="auto" w:fill="auto"/>
            <w:vAlign w:val="center"/>
            <w:hideMark/>
          </w:tcPr>
          <w:p w14:paraId="305C2326" w14:textId="77777777" w:rsidR="001012AF" w:rsidRPr="00707CE0" w:rsidRDefault="001012AF" w:rsidP="00A17557">
            <w:pPr>
              <w:jc w:val="center"/>
              <w:rPr>
                <w:b/>
                <w:bCs/>
                <w:color w:val="000000"/>
                <w:sz w:val="22"/>
                <w:szCs w:val="22"/>
              </w:rPr>
            </w:pPr>
            <w:r w:rsidRPr="00707CE0">
              <w:rPr>
                <w:b/>
                <w:bCs/>
                <w:color w:val="000000"/>
                <w:sz w:val="22"/>
                <w:szCs w:val="22"/>
              </w:rPr>
              <w:t>Наименование показателя</w:t>
            </w:r>
          </w:p>
        </w:tc>
        <w:tc>
          <w:tcPr>
            <w:tcW w:w="1641" w:type="dxa"/>
            <w:shd w:val="clear" w:color="auto" w:fill="auto"/>
            <w:vAlign w:val="center"/>
            <w:hideMark/>
          </w:tcPr>
          <w:p w14:paraId="59BD4770" w14:textId="77777777" w:rsidR="001012AF" w:rsidRPr="00707CE0" w:rsidRDefault="001012AF" w:rsidP="00A17557">
            <w:pPr>
              <w:jc w:val="center"/>
              <w:rPr>
                <w:b/>
                <w:bCs/>
                <w:color w:val="000000"/>
                <w:sz w:val="22"/>
                <w:szCs w:val="22"/>
              </w:rPr>
            </w:pPr>
            <w:r w:rsidRPr="00707CE0">
              <w:rPr>
                <w:b/>
                <w:bCs/>
                <w:color w:val="000000"/>
                <w:sz w:val="22"/>
                <w:szCs w:val="22"/>
              </w:rPr>
              <w:t>Остаток на отчётную дату</w:t>
            </w:r>
          </w:p>
        </w:tc>
      </w:tr>
      <w:tr w:rsidR="001012AF" w:rsidRPr="00707CE0" w14:paraId="393A8DD9" w14:textId="77777777" w:rsidTr="00A17557">
        <w:trPr>
          <w:trHeight w:val="170"/>
          <w:tblCellSpacing w:w="20" w:type="dxa"/>
        </w:trPr>
        <w:tc>
          <w:tcPr>
            <w:tcW w:w="1291" w:type="dxa"/>
            <w:shd w:val="clear" w:color="auto" w:fill="auto"/>
            <w:vAlign w:val="center"/>
            <w:hideMark/>
          </w:tcPr>
          <w:p w14:paraId="09572A6E" w14:textId="77777777" w:rsidR="001012AF" w:rsidRPr="00707CE0" w:rsidRDefault="001012AF" w:rsidP="00A17557">
            <w:pPr>
              <w:ind w:firstLineChars="3" w:firstLine="7"/>
              <w:rPr>
                <w:color w:val="000000"/>
                <w:sz w:val="22"/>
                <w:szCs w:val="22"/>
              </w:rPr>
            </w:pPr>
            <w:r w:rsidRPr="00707CE0">
              <w:rPr>
                <w:color w:val="000000"/>
                <w:sz w:val="22"/>
                <w:szCs w:val="22"/>
              </w:rPr>
              <w:t>0</w:t>
            </w:r>
          </w:p>
        </w:tc>
        <w:tc>
          <w:tcPr>
            <w:tcW w:w="7398" w:type="dxa"/>
            <w:shd w:val="clear" w:color="auto" w:fill="auto"/>
            <w:vAlign w:val="center"/>
            <w:hideMark/>
          </w:tcPr>
          <w:p w14:paraId="70037DCC" w14:textId="77777777" w:rsidR="001012AF" w:rsidRPr="00707CE0" w:rsidRDefault="001012AF" w:rsidP="00A17557">
            <w:pPr>
              <w:ind w:firstLineChars="100" w:firstLine="220"/>
              <w:rPr>
                <w:color w:val="000000"/>
                <w:sz w:val="22"/>
                <w:szCs w:val="22"/>
              </w:rPr>
            </w:pPr>
            <w:r w:rsidRPr="00707CE0">
              <w:rPr>
                <w:color w:val="000000"/>
                <w:sz w:val="22"/>
                <w:szCs w:val="22"/>
              </w:rPr>
              <w:t>Собственные средства (капитал), итого, в том числе:</w:t>
            </w:r>
          </w:p>
        </w:tc>
        <w:tc>
          <w:tcPr>
            <w:tcW w:w="1641" w:type="dxa"/>
            <w:shd w:val="clear" w:color="auto" w:fill="auto"/>
            <w:noWrap/>
            <w:vAlign w:val="center"/>
            <w:hideMark/>
          </w:tcPr>
          <w:p w14:paraId="50FDF205" w14:textId="77777777" w:rsidR="001012AF" w:rsidRPr="00707CE0" w:rsidRDefault="001012AF" w:rsidP="00A17557">
            <w:pPr>
              <w:ind w:firstLineChars="100" w:firstLine="220"/>
              <w:jc w:val="right"/>
              <w:rPr>
                <w:color w:val="000000"/>
                <w:sz w:val="22"/>
                <w:szCs w:val="22"/>
              </w:rPr>
            </w:pPr>
            <w:r w:rsidRPr="00707CE0">
              <w:rPr>
                <w:color w:val="000000"/>
                <w:sz w:val="22"/>
                <w:szCs w:val="22"/>
              </w:rPr>
              <w:t>21 682 664</w:t>
            </w:r>
          </w:p>
        </w:tc>
      </w:tr>
      <w:tr w:rsidR="001012AF" w:rsidRPr="00707CE0" w14:paraId="7284CD09" w14:textId="77777777" w:rsidTr="00A17557">
        <w:trPr>
          <w:trHeight w:val="170"/>
          <w:tblCellSpacing w:w="20" w:type="dxa"/>
        </w:trPr>
        <w:tc>
          <w:tcPr>
            <w:tcW w:w="1291" w:type="dxa"/>
            <w:shd w:val="clear" w:color="auto" w:fill="auto"/>
            <w:vAlign w:val="center"/>
            <w:hideMark/>
          </w:tcPr>
          <w:p w14:paraId="1660841E" w14:textId="77777777" w:rsidR="001012AF" w:rsidRPr="00707CE0" w:rsidRDefault="001012AF" w:rsidP="00A17557">
            <w:pPr>
              <w:ind w:firstLineChars="3" w:firstLine="7"/>
              <w:rPr>
                <w:color w:val="000000"/>
                <w:sz w:val="22"/>
                <w:szCs w:val="22"/>
              </w:rPr>
            </w:pPr>
            <w:r w:rsidRPr="00707CE0">
              <w:rPr>
                <w:color w:val="000000"/>
                <w:sz w:val="22"/>
                <w:szCs w:val="22"/>
              </w:rPr>
              <w:t>100</w:t>
            </w:r>
          </w:p>
        </w:tc>
        <w:tc>
          <w:tcPr>
            <w:tcW w:w="7398" w:type="dxa"/>
            <w:shd w:val="clear" w:color="auto" w:fill="auto"/>
            <w:vAlign w:val="center"/>
            <w:hideMark/>
          </w:tcPr>
          <w:p w14:paraId="0FB934EA" w14:textId="77777777" w:rsidR="001012AF" w:rsidRPr="00707CE0" w:rsidRDefault="001012AF" w:rsidP="00A17557">
            <w:pPr>
              <w:rPr>
                <w:color w:val="000000"/>
                <w:sz w:val="22"/>
                <w:szCs w:val="22"/>
              </w:rPr>
            </w:pPr>
            <w:r w:rsidRPr="00707CE0">
              <w:rPr>
                <w:color w:val="000000"/>
                <w:sz w:val="22"/>
                <w:szCs w:val="22"/>
              </w:rPr>
              <w:t>Источники базового капитала:</w:t>
            </w:r>
          </w:p>
        </w:tc>
        <w:tc>
          <w:tcPr>
            <w:tcW w:w="1641" w:type="dxa"/>
            <w:shd w:val="clear" w:color="auto" w:fill="auto"/>
            <w:noWrap/>
            <w:vAlign w:val="center"/>
            <w:hideMark/>
          </w:tcPr>
          <w:p w14:paraId="4F2FA975" w14:textId="77777777" w:rsidR="001012AF" w:rsidRPr="00707CE0" w:rsidRDefault="001012AF" w:rsidP="00A17557">
            <w:pPr>
              <w:ind w:firstLineChars="100" w:firstLine="220"/>
              <w:jc w:val="right"/>
              <w:rPr>
                <w:color w:val="000000"/>
                <w:sz w:val="22"/>
                <w:szCs w:val="22"/>
              </w:rPr>
            </w:pPr>
            <w:r w:rsidRPr="00707CE0">
              <w:rPr>
                <w:color w:val="000000"/>
                <w:sz w:val="22"/>
                <w:szCs w:val="22"/>
              </w:rPr>
              <w:t>19 772 940</w:t>
            </w:r>
          </w:p>
        </w:tc>
      </w:tr>
      <w:tr w:rsidR="001012AF" w:rsidRPr="00707CE0" w14:paraId="363F1950" w14:textId="77777777" w:rsidTr="00A17557">
        <w:trPr>
          <w:trHeight w:val="170"/>
          <w:tblCellSpacing w:w="20" w:type="dxa"/>
        </w:trPr>
        <w:tc>
          <w:tcPr>
            <w:tcW w:w="1291" w:type="dxa"/>
            <w:shd w:val="clear" w:color="auto" w:fill="auto"/>
            <w:vAlign w:val="center"/>
            <w:hideMark/>
          </w:tcPr>
          <w:p w14:paraId="6BBAC2CF" w14:textId="77777777" w:rsidR="001012AF" w:rsidRPr="00707CE0" w:rsidRDefault="001012AF" w:rsidP="00A17557">
            <w:pPr>
              <w:ind w:firstLineChars="3" w:firstLine="7"/>
              <w:rPr>
                <w:color w:val="000000"/>
                <w:sz w:val="22"/>
                <w:szCs w:val="22"/>
              </w:rPr>
            </w:pPr>
            <w:r w:rsidRPr="00707CE0">
              <w:rPr>
                <w:color w:val="000000"/>
                <w:sz w:val="22"/>
                <w:szCs w:val="22"/>
              </w:rPr>
              <w:t>100.1</w:t>
            </w:r>
          </w:p>
        </w:tc>
        <w:tc>
          <w:tcPr>
            <w:tcW w:w="7398" w:type="dxa"/>
            <w:shd w:val="clear" w:color="auto" w:fill="auto"/>
            <w:vAlign w:val="center"/>
            <w:hideMark/>
          </w:tcPr>
          <w:p w14:paraId="76D078CE" w14:textId="77777777" w:rsidR="001012AF" w:rsidRPr="00707CE0" w:rsidRDefault="001012AF" w:rsidP="00A17557">
            <w:pPr>
              <w:rPr>
                <w:color w:val="000000"/>
                <w:sz w:val="22"/>
                <w:szCs w:val="22"/>
              </w:rPr>
            </w:pPr>
            <w:r w:rsidRPr="00707CE0">
              <w:rPr>
                <w:color w:val="000000"/>
                <w:sz w:val="22"/>
                <w:szCs w:val="22"/>
              </w:rPr>
              <w:t>Уставный капитал кредитной организации:</w:t>
            </w:r>
          </w:p>
        </w:tc>
        <w:tc>
          <w:tcPr>
            <w:tcW w:w="1641" w:type="dxa"/>
            <w:shd w:val="clear" w:color="auto" w:fill="auto"/>
            <w:noWrap/>
            <w:vAlign w:val="center"/>
            <w:hideMark/>
          </w:tcPr>
          <w:p w14:paraId="36B76F8C" w14:textId="77777777" w:rsidR="001012AF" w:rsidRPr="00707CE0" w:rsidRDefault="001012AF" w:rsidP="00A17557">
            <w:pPr>
              <w:ind w:firstLineChars="100" w:firstLine="220"/>
              <w:jc w:val="right"/>
              <w:rPr>
                <w:color w:val="000000"/>
                <w:sz w:val="22"/>
                <w:szCs w:val="22"/>
              </w:rPr>
            </w:pPr>
            <w:r w:rsidRPr="00707CE0">
              <w:rPr>
                <w:color w:val="000000"/>
                <w:sz w:val="22"/>
                <w:szCs w:val="22"/>
              </w:rPr>
              <w:t>807 000</w:t>
            </w:r>
          </w:p>
        </w:tc>
      </w:tr>
      <w:tr w:rsidR="001012AF" w:rsidRPr="00707CE0" w14:paraId="721B35FC" w14:textId="77777777" w:rsidTr="00A17557">
        <w:trPr>
          <w:trHeight w:val="170"/>
          <w:tblCellSpacing w:w="20" w:type="dxa"/>
        </w:trPr>
        <w:tc>
          <w:tcPr>
            <w:tcW w:w="1291" w:type="dxa"/>
            <w:shd w:val="clear" w:color="auto" w:fill="auto"/>
            <w:vAlign w:val="center"/>
            <w:hideMark/>
          </w:tcPr>
          <w:p w14:paraId="2DBAE888" w14:textId="77777777" w:rsidR="001012AF" w:rsidRPr="00707CE0" w:rsidRDefault="001012AF" w:rsidP="00A17557">
            <w:pPr>
              <w:ind w:firstLineChars="3" w:firstLine="7"/>
              <w:rPr>
                <w:color w:val="000000"/>
                <w:sz w:val="22"/>
                <w:szCs w:val="22"/>
              </w:rPr>
            </w:pPr>
            <w:r w:rsidRPr="00707CE0">
              <w:rPr>
                <w:color w:val="000000"/>
                <w:sz w:val="22"/>
                <w:szCs w:val="22"/>
              </w:rPr>
              <w:t>100.1.1</w:t>
            </w:r>
          </w:p>
        </w:tc>
        <w:tc>
          <w:tcPr>
            <w:tcW w:w="7398" w:type="dxa"/>
            <w:shd w:val="clear" w:color="auto" w:fill="auto"/>
            <w:vAlign w:val="center"/>
            <w:hideMark/>
          </w:tcPr>
          <w:p w14:paraId="76777468" w14:textId="77777777" w:rsidR="001012AF" w:rsidRPr="00707CE0" w:rsidRDefault="001012AF" w:rsidP="00A17557">
            <w:pPr>
              <w:rPr>
                <w:color w:val="000000"/>
                <w:sz w:val="22"/>
                <w:szCs w:val="22"/>
              </w:rPr>
            </w:pPr>
            <w:r w:rsidRPr="00707CE0">
              <w:rPr>
                <w:color w:val="000000"/>
                <w:sz w:val="22"/>
                <w:szCs w:val="22"/>
              </w:rPr>
              <w:t>сформированный обыкновенными акциями</w:t>
            </w:r>
          </w:p>
        </w:tc>
        <w:tc>
          <w:tcPr>
            <w:tcW w:w="1641" w:type="dxa"/>
            <w:shd w:val="clear" w:color="auto" w:fill="auto"/>
            <w:noWrap/>
            <w:vAlign w:val="center"/>
            <w:hideMark/>
          </w:tcPr>
          <w:p w14:paraId="5FB9B32A" w14:textId="77777777" w:rsidR="001012AF" w:rsidRPr="00707CE0" w:rsidRDefault="001012AF" w:rsidP="00A17557">
            <w:pPr>
              <w:ind w:firstLineChars="100" w:firstLine="220"/>
              <w:jc w:val="right"/>
              <w:rPr>
                <w:color w:val="000000"/>
                <w:sz w:val="22"/>
                <w:szCs w:val="22"/>
              </w:rPr>
            </w:pPr>
            <w:r w:rsidRPr="00707CE0">
              <w:rPr>
                <w:color w:val="000000"/>
                <w:sz w:val="22"/>
                <w:szCs w:val="22"/>
              </w:rPr>
              <w:t>807 000</w:t>
            </w:r>
          </w:p>
        </w:tc>
      </w:tr>
      <w:tr w:rsidR="001012AF" w:rsidRPr="00707CE0" w14:paraId="665D3E98" w14:textId="77777777" w:rsidTr="00A17557">
        <w:trPr>
          <w:trHeight w:val="170"/>
          <w:tblCellSpacing w:w="20" w:type="dxa"/>
        </w:trPr>
        <w:tc>
          <w:tcPr>
            <w:tcW w:w="1291" w:type="dxa"/>
            <w:shd w:val="clear" w:color="auto" w:fill="auto"/>
            <w:vAlign w:val="center"/>
            <w:hideMark/>
          </w:tcPr>
          <w:p w14:paraId="18F2FBB0" w14:textId="77777777" w:rsidR="001012AF" w:rsidRPr="00707CE0" w:rsidRDefault="001012AF" w:rsidP="00A17557">
            <w:pPr>
              <w:ind w:firstLineChars="3" w:firstLine="7"/>
              <w:rPr>
                <w:color w:val="000000"/>
                <w:sz w:val="22"/>
                <w:szCs w:val="22"/>
              </w:rPr>
            </w:pPr>
            <w:r w:rsidRPr="00707CE0">
              <w:rPr>
                <w:color w:val="000000"/>
                <w:sz w:val="22"/>
                <w:szCs w:val="22"/>
              </w:rPr>
              <w:t>100.1.2</w:t>
            </w:r>
          </w:p>
        </w:tc>
        <w:tc>
          <w:tcPr>
            <w:tcW w:w="7398" w:type="dxa"/>
            <w:shd w:val="clear" w:color="auto" w:fill="auto"/>
            <w:vAlign w:val="center"/>
            <w:hideMark/>
          </w:tcPr>
          <w:p w14:paraId="3CAE3B38" w14:textId="77777777" w:rsidR="001012AF" w:rsidRPr="00707CE0" w:rsidRDefault="001012AF" w:rsidP="00A17557">
            <w:pPr>
              <w:rPr>
                <w:color w:val="000000"/>
                <w:sz w:val="22"/>
                <w:szCs w:val="22"/>
              </w:rPr>
            </w:pPr>
            <w:r w:rsidRPr="00707CE0">
              <w:rPr>
                <w:color w:val="000000"/>
                <w:sz w:val="22"/>
                <w:szCs w:val="22"/>
              </w:rPr>
              <w:t>сформированный привилегированными акциями</w:t>
            </w:r>
          </w:p>
        </w:tc>
        <w:tc>
          <w:tcPr>
            <w:tcW w:w="1641" w:type="dxa"/>
            <w:shd w:val="clear" w:color="auto" w:fill="auto"/>
            <w:noWrap/>
            <w:vAlign w:val="center"/>
            <w:hideMark/>
          </w:tcPr>
          <w:p w14:paraId="0322BA99" w14:textId="77777777" w:rsidR="001012AF" w:rsidRPr="00707CE0" w:rsidRDefault="001012AF" w:rsidP="00A17557">
            <w:pPr>
              <w:ind w:firstLineChars="100" w:firstLine="220"/>
              <w:jc w:val="right"/>
              <w:rPr>
                <w:color w:val="000000"/>
                <w:sz w:val="22"/>
                <w:szCs w:val="22"/>
              </w:rPr>
            </w:pPr>
            <w:r w:rsidRPr="00707CE0">
              <w:rPr>
                <w:color w:val="000000"/>
                <w:sz w:val="22"/>
                <w:szCs w:val="22"/>
              </w:rPr>
              <w:t>0</w:t>
            </w:r>
          </w:p>
        </w:tc>
      </w:tr>
      <w:tr w:rsidR="001012AF" w:rsidRPr="00707CE0" w14:paraId="3E889234" w14:textId="77777777" w:rsidTr="00A17557">
        <w:trPr>
          <w:trHeight w:val="170"/>
          <w:tblCellSpacing w:w="20" w:type="dxa"/>
        </w:trPr>
        <w:tc>
          <w:tcPr>
            <w:tcW w:w="1291" w:type="dxa"/>
            <w:shd w:val="clear" w:color="auto" w:fill="auto"/>
            <w:vAlign w:val="center"/>
            <w:hideMark/>
          </w:tcPr>
          <w:p w14:paraId="22374436" w14:textId="77777777" w:rsidR="001012AF" w:rsidRPr="00707CE0" w:rsidRDefault="001012AF" w:rsidP="00A17557">
            <w:pPr>
              <w:ind w:firstLineChars="3" w:firstLine="7"/>
              <w:rPr>
                <w:color w:val="000000"/>
                <w:sz w:val="22"/>
                <w:szCs w:val="22"/>
              </w:rPr>
            </w:pPr>
            <w:r w:rsidRPr="00707CE0">
              <w:rPr>
                <w:color w:val="000000"/>
                <w:sz w:val="22"/>
                <w:szCs w:val="22"/>
              </w:rPr>
              <w:t>100.1.3</w:t>
            </w:r>
          </w:p>
        </w:tc>
        <w:tc>
          <w:tcPr>
            <w:tcW w:w="7398" w:type="dxa"/>
            <w:shd w:val="clear" w:color="auto" w:fill="auto"/>
            <w:vAlign w:val="center"/>
            <w:hideMark/>
          </w:tcPr>
          <w:p w14:paraId="3D4080D1" w14:textId="77777777" w:rsidR="001012AF" w:rsidRPr="00707CE0" w:rsidRDefault="001012AF" w:rsidP="00A17557">
            <w:pPr>
              <w:rPr>
                <w:color w:val="000000"/>
                <w:sz w:val="22"/>
                <w:szCs w:val="22"/>
              </w:rPr>
            </w:pPr>
            <w:r w:rsidRPr="00707CE0">
              <w:rPr>
                <w:color w:val="000000"/>
                <w:sz w:val="22"/>
                <w:szCs w:val="22"/>
              </w:rPr>
              <w:t>сформированный долями</w:t>
            </w:r>
          </w:p>
        </w:tc>
        <w:tc>
          <w:tcPr>
            <w:tcW w:w="1641" w:type="dxa"/>
            <w:shd w:val="clear" w:color="auto" w:fill="auto"/>
            <w:noWrap/>
            <w:vAlign w:val="center"/>
            <w:hideMark/>
          </w:tcPr>
          <w:p w14:paraId="6E9AAA6A" w14:textId="77777777" w:rsidR="001012AF" w:rsidRPr="00707CE0" w:rsidRDefault="001012AF" w:rsidP="00A17557">
            <w:pPr>
              <w:ind w:firstLineChars="100" w:firstLine="220"/>
              <w:jc w:val="right"/>
              <w:rPr>
                <w:color w:val="000000"/>
                <w:sz w:val="22"/>
                <w:szCs w:val="22"/>
              </w:rPr>
            </w:pPr>
            <w:r w:rsidRPr="00707CE0">
              <w:rPr>
                <w:color w:val="000000"/>
                <w:sz w:val="22"/>
                <w:szCs w:val="22"/>
              </w:rPr>
              <w:t>0</w:t>
            </w:r>
          </w:p>
        </w:tc>
      </w:tr>
      <w:tr w:rsidR="001012AF" w:rsidRPr="00707CE0" w14:paraId="44B83524" w14:textId="77777777" w:rsidTr="00A17557">
        <w:trPr>
          <w:trHeight w:val="170"/>
          <w:tblCellSpacing w:w="20" w:type="dxa"/>
        </w:trPr>
        <w:tc>
          <w:tcPr>
            <w:tcW w:w="1291" w:type="dxa"/>
            <w:shd w:val="clear" w:color="auto" w:fill="auto"/>
            <w:vAlign w:val="center"/>
            <w:hideMark/>
          </w:tcPr>
          <w:p w14:paraId="185DABBC" w14:textId="77777777" w:rsidR="001012AF" w:rsidRPr="00707CE0" w:rsidRDefault="001012AF" w:rsidP="00A17557">
            <w:pPr>
              <w:ind w:firstLineChars="3" w:firstLine="7"/>
              <w:rPr>
                <w:color w:val="000000"/>
                <w:sz w:val="22"/>
                <w:szCs w:val="22"/>
              </w:rPr>
            </w:pPr>
            <w:r w:rsidRPr="00707CE0">
              <w:rPr>
                <w:color w:val="000000"/>
                <w:sz w:val="22"/>
                <w:szCs w:val="22"/>
              </w:rPr>
              <w:t>100.2</w:t>
            </w:r>
          </w:p>
        </w:tc>
        <w:tc>
          <w:tcPr>
            <w:tcW w:w="7398" w:type="dxa"/>
            <w:shd w:val="clear" w:color="auto" w:fill="auto"/>
            <w:vAlign w:val="center"/>
            <w:hideMark/>
          </w:tcPr>
          <w:p w14:paraId="5C9212C7" w14:textId="77777777" w:rsidR="001012AF" w:rsidRPr="00707CE0" w:rsidRDefault="001012AF" w:rsidP="00A17557">
            <w:pPr>
              <w:rPr>
                <w:color w:val="000000"/>
                <w:sz w:val="22"/>
                <w:szCs w:val="22"/>
              </w:rPr>
            </w:pPr>
            <w:r w:rsidRPr="00707CE0">
              <w:rPr>
                <w:color w:val="000000"/>
                <w:sz w:val="22"/>
                <w:szCs w:val="22"/>
              </w:rPr>
              <w:t>Эмиссионный доход:</w:t>
            </w:r>
          </w:p>
        </w:tc>
        <w:tc>
          <w:tcPr>
            <w:tcW w:w="1641" w:type="dxa"/>
            <w:shd w:val="clear" w:color="auto" w:fill="auto"/>
            <w:noWrap/>
            <w:vAlign w:val="center"/>
            <w:hideMark/>
          </w:tcPr>
          <w:p w14:paraId="6AE74112" w14:textId="77777777" w:rsidR="001012AF" w:rsidRPr="00707CE0" w:rsidRDefault="001012AF" w:rsidP="00A17557">
            <w:pPr>
              <w:ind w:firstLineChars="100" w:firstLine="220"/>
              <w:jc w:val="right"/>
              <w:rPr>
                <w:color w:val="000000"/>
                <w:sz w:val="22"/>
                <w:szCs w:val="22"/>
              </w:rPr>
            </w:pPr>
            <w:r w:rsidRPr="00707CE0">
              <w:rPr>
                <w:color w:val="000000"/>
                <w:sz w:val="22"/>
                <w:szCs w:val="22"/>
              </w:rPr>
              <w:t>4 193 400</w:t>
            </w:r>
          </w:p>
        </w:tc>
      </w:tr>
      <w:tr w:rsidR="001012AF" w:rsidRPr="00707CE0" w14:paraId="589832D2" w14:textId="77777777" w:rsidTr="00A17557">
        <w:trPr>
          <w:trHeight w:val="170"/>
          <w:tblCellSpacing w:w="20" w:type="dxa"/>
        </w:trPr>
        <w:tc>
          <w:tcPr>
            <w:tcW w:w="1291" w:type="dxa"/>
            <w:shd w:val="clear" w:color="auto" w:fill="auto"/>
            <w:vAlign w:val="center"/>
            <w:hideMark/>
          </w:tcPr>
          <w:p w14:paraId="69DB8B9B" w14:textId="77777777" w:rsidR="001012AF" w:rsidRPr="00707CE0" w:rsidRDefault="001012AF" w:rsidP="00A17557">
            <w:pPr>
              <w:ind w:firstLineChars="3" w:firstLine="7"/>
              <w:rPr>
                <w:color w:val="000000"/>
                <w:sz w:val="22"/>
                <w:szCs w:val="22"/>
              </w:rPr>
            </w:pPr>
            <w:r w:rsidRPr="00707CE0">
              <w:rPr>
                <w:color w:val="000000"/>
                <w:sz w:val="22"/>
                <w:szCs w:val="22"/>
              </w:rPr>
              <w:t>100.2.1</w:t>
            </w:r>
          </w:p>
        </w:tc>
        <w:tc>
          <w:tcPr>
            <w:tcW w:w="7398" w:type="dxa"/>
            <w:shd w:val="clear" w:color="auto" w:fill="auto"/>
            <w:vAlign w:val="center"/>
            <w:hideMark/>
          </w:tcPr>
          <w:p w14:paraId="268797DF" w14:textId="77777777" w:rsidR="001012AF" w:rsidRPr="00707CE0" w:rsidRDefault="001012AF" w:rsidP="00A17557">
            <w:pPr>
              <w:rPr>
                <w:color w:val="000000"/>
                <w:sz w:val="22"/>
                <w:szCs w:val="22"/>
              </w:rPr>
            </w:pPr>
            <w:r w:rsidRPr="00707CE0">
              <w:rPr>
                <w:color w:val="000000"/>
                <w:sz w:val="22"/>
                <w:szCs w:val="22"/>
              </w:rPr>
              <w:t>кредитной организации в организационно-правовой форме акционерного общества, всего, в том числе:</w:t>
            </w:r>
          </w:p>
        </w:tc>
        <w:tc>
          <w:tcPr>
            <w:tcW w:w="1641" w:type="dxa"/>
            <w:shd w:val="clear" w:color="auto" w:fill="auto"/>
            <w:noWrap/>
            <w:vAlign w:val="center"/>
            <w:hideMark/>
          </w:tcPr>
          <w:p w14:paraId="3ADA0254" w14:textId="77777777" w:rsidR="001012AF" w:rsidRPr="00707CE0" w:rsidRDefault="001012AF" w:rsidP="00A17557">
            <w:pPr>
              <w:ind w:firstLineChars="100" w:firstLine="220"/>
              <w:jc w:val="right"/>
              <w:rPr>
                <w:color w:val="000000"/>
                <w:sz w:val="22"/>
                <w:szCs w:val="22"/>
              </w:rPr>
            </w:pPr>
            <w:r w:rsidRPr="00707CE0">
              <w:rPr>
                <w:color w:val="000000"/>
                <w:sz w:val="22"/>
                <w:szCs w:val="22"/>
              </w:rPr>
              <w:t>4 193 400</w:t>
            </w:r>
          </w:p>
        </w:tc>
      </w:tr>
      <w:tr w:rsidR="001012AF" w:rsidRPr="00707CE0" w14:paraId="1B7890B1" w14:textId="77777777" w:rsidTr="00A17557">
        <w:trPr>
          <w:trHeight w:val="170"/>
          <w:tblCellSpacing w:w="20" w:type="dxa"/>
        </w:trPr>
        <w:tc>
          <w:tcPr>
            <w:tcW w:w="1291" w:type="dxa"/>
            <w:shd w:val="clear" w:color="auto" w:fill="auto"/>
            <w:vAlign w:val="center"/>
            <w:hideMark/>
          </w:tcPr>
          <w:p w14:paraId="61E2881D" w14:textId="77777777" w:rsidR="001012AF" w:rsidRPr="00707CE0" w:rsidRDefault="001012AF" w:rsidP="00A17557">
            <w:pPr>
              <w:ind w:firstLineChars="3" w:firstLine="7"/>
              <w:rPr>
                <w:color w:val="000000"/>
                <w:sz w:val="22"/>
                <w:szCs w:val="22"/>
              </w:rPr>
            </w:pPr>
            <w:r w:rsidRPr="00707CE0">
              <w:rPr>
                <w:color w:val="000000"/>
                <w:sz w:val="22"/>
                <w:szCs w:val="22"/>
              </w:rPr>
              <w:t>100.2.1.1</w:t>
            </w:r>
          </w:p>
        </w:tc>
        <w:tc>
          <w:tcPr>
            <w:tcW w:w="7398" w:type="dxa"/>
            <w:shd w:val="clear" w:color="auto" w:fill="auto"/>
            <w:vAlign w:val="center"/>
            <w:hideMark/>
          </w:tcPr>
          <w:p w14:paraId="4A8CBAF8" w14:textId="77777777" w:rsidR="001012AF" w:rsidRPr="00707CE0" w:rsidRDefault="001012AF" w:rsidP="00A17557">
            <w:pPr>
              <w:rPr>
                <w:color w:val="000000"/>
                <w:sz w:val="22"/>
                <w:szCs w:val="22"/>
              </w:rPr>
            </w:pPr>
            <w:r w:rsidRPr="00707CE0">
              <w:rPr>
                <w:color w:val="000000"/>
                <w:sz w:val="22"/>
                <w:szCs w:val="22"/>
              </w:rPr>
              <w:t>сформированный при размещении обыкновенных акций</w:t>
            </w:r>
          </w:p>
        </w:tc>
        <w:tc>
          <w:tcPr>
            <w:tcW w:w="1641" w:type="dxa"/>
            <w:shd w:val="clear" w:color="auto" w:fill="auto"/>
            <w:noWrap/>
            <w:vAlign w:val="center"/>
            <w:hideMark/>
          </w:tcPr>
          <w:p w14:paraId="13ED8E4B" w14:textId="77777777" w:rsidR="001012AF" w:rsidRPr="00707CE0" w:rsidRDefault="001012AF" w:rsidP="00A17557">
            <w:pPr>
              <w:ind w:firstLineChars="100" w:firstLine="220"/>
              <w:jc w:val="right"/>
              <w:rPr>
                <w:color w:val="000000"/>
                <w:sz w:val="22"/>
                <w:szCs w:val="22"/>
              </w:rPr>
            </w:pPr>
            <w:r w:rsidRPr="00707CE0">
              <w:rPr>
                <w:color w:val="000000"/>
                <w:sz w:val="22"/>
                <w:szCs w:val="22"/>
              </w:rPr>
              <w:t>4 193 400</w:t>
            </w:r>
          </w:p>
        </w:tc>
      </w:tr>
      <w:tr w:rsidR="001012AF" w:rsidRPr="00707CE0" w14:paraId="09245E8E" w14:textId="77777777" w:rsidTr="00A17557">
        <w:trPr>
          <w:trHeight w:val="170"/>
          <w:tblCellSpacing w:w="20" w:type="dxa"/>
        </w:trPr>
        <w:tc>
          <w:tcPr>
            <w:tcW w:w="1291" w:type="dxa"/>
            <w:shd w:val="clear" w:color="auto" w:fill="auto"/>
            <w:vAlign w:val="center"/>
            <w:hideMark/>
          </w:tcPr>
          <w:p w14:paraId="7B5387AD" w14:textId="77777777" w:rsidR="001012AF" w:rsidRPr="00707CE0" w:rsidRDefault="001012AF" w:rsidP="00A17557">
            <w:pPr>
              <w:ind w:firstLineChars="3" w:firstLine="7"/>
              <w:rPr>
                <w:color w:val="000000"/>
                <w:sz w:val="22"/>
                <w:szCs w:val="22"/>
              </w:rPr>
            </w:pPr>
            <w:r w:rsidRPr="00707CE0">
              <w:rPr>
                <w:color w:val="000000"/>
                <w:sz w:val="22"/>
                <w:szCs w:val="22"/>
              </w:rPr>
              <w:t>100.3</w:t>
            </w:r>
          </w:p>
        </w:tc>
        <w:tc>
          <w:tcPr>
            <w:tcW w:w="7398" w:type="dxa"/>
            <w:shd w:val="clear" w:color="auto" w:fill="auto"/>
            <w:vAlign w:val="center"/>
            <w:hideMark/>
          </w:tcPr>
          <w:p w14:paraId="4E88EC96" w14:textId="77777777" w:rsidR="001012AF" w:rsidRPr="00707CE0" w:rsidRDefault="001012AF" w:rsidP="00A17557">
            <w:pPr>
              <w:rPr>
                <w:color w:val="000000"/>
                <w:sz w:val="22"/>
                <w:szCs w:val="22"/>
              </w:rPr>
            </w:pPr>
            <w:r w:rsidRPr="00707CE0">
              <w:rPr>
                <w:color w:val="000000"/>
                <w:sz w:val="22"/>
                <w:szCs w:val="22"/>
              </w:rPr>
              <w:t>Часть резервного фонда кредитной организации, сформированная за счет прибыли предшествующих лет</w:t>
            </w:r>
          </w:p>
        </w:tc>
        <w:tc>
          <w:tcPr>
            <w:tcW w:w="1641" w:type="dxa"/>
            <w:shd w:val="clear" w:color="auto" w:fill="auto"/>
            <w:noWrap/>
            <w:vAlign w:val="center"/>
            <w:hideMark/>
          </w:tcPr>
          <w:p w14:paraId="75E91054" w14:textId="77777777" w:rsidR="001012AF" w:rsidRPr="00707CE0" w:rsidRDefault="001012AF" w:rsidP="00A17557">
            <w:pPr>
              <w:ind w:firstLineChars="100" w:firstLine="220"/>
              <w:jc w:val="right"/>
              <w:rPr>
                <w:color w:val="000000"/>
                <w:sz w:val="22"/>
                <w:szCs w:val="22"/>
              </w:rPr>
            </w:pPr>
            <w:r w:rsidRPr="00707CE0">
              <w:rPr>
                <w:color w:val="000000"/>
                <w:sz w:val="22"/>
                <w:szCs w:val="22"/>
              </w:rPr>
              <w:t>121 050</w:t>
            </w:r>
          </w:p>
        </w:tc>
      </w:tr>
      <w:tr w:rsidR="001012AF" w:rsidRPr="00707CE0" w14:paraId="637D201A" w14:textId="77777777" w:rsidTr="00A17557">
        <w:trPr>
          <w:trHeight w:val="170"/>
          <w:tblCellSpacing w:w="20" w:type="dxa"/>
        </w:trPr>
        <w:tc>
          <w:tcPr>
            <w:tcW w:w="1291" w:type="dxa"/>
            <w:shd w:val="clear" w:color="auto" w:fill="auto"/>
            <w:vAlign w:val="center"/>
            <w:hideMark/>
          </w:tcPr>
          <w:p w14:paraId="534C20C3" w14:textId="77777777" w:rsidR="001012AF" w:rsidRPr="00707CE0" w:rsidRDefault="001012AF" w:rsidP="00A17557">
            <w:pPr>
              <w:ind w:firstLineChars="3" w:firstLine="7"/>
              <w:rPr>
                <w:color w:val="000000"/>
                <w:sz w:val="22"/>
                <w:szCs w:val="22"/>
              </w:rPr>
            </w:pPr>
            <w:r w:rsidRPr="00707CE0">
              <w:rPr>
                <w:color w:val="000000"/>
                <w:sz w:val="22"/>
                <w:szCs w:val="22"/>
              </w:rPr>
              <w:t>100.6</w:t>
            </w:r>
          </w:p>
        </w:tc>
        <w:tc>
          <w:tcPr>
            <w:tcW w:w="7398" w:type="dxa"/>
            <w:shd w:val="clear" w:color="auto" w:fill="auto"/>
            <w:vAlign w:val="center"/>
            <w:hideMark/>
          </w:tcPr>
          <w:p w14:paraId="2A91B501" w14:textId="77777777" w:rsidR="001012AF" w:rsidRPr="00707CE0" w:rsidRDefault="001012AF" w:rsidP="00A17557">
            <w:pPr>
              <w:rPr>
                <w:color w:val="000000"/>
                <w:sz w:val="22"/>
                <w:szCs w:val="22"/>
              </w:rPr>
            </w:pPr>
            <w:r w:rsidRPr="00707CE0">
              <w:rPr>
                <w:color w:val="000000"/>
                <w:sz w:val="22"/>
                <w:szCs w:val="22"/>
              </w:rPr>
              <w:t>Прибыль предшествующих лет, данные о которой подтверждены аудиторской организацией, всего, в том числе:</w:t>
            </w:r>
          </w:p>
        </w:tc>
        <w:tc>
          <w:tcPr>
            <w:tcW w:w="1641" w:type="dxa"/>
            <w:shd w:val="clear" w:color="auto" w:fill="auto"/>
            <w:noWrap/>
            <w:vAlign w:val="center"/>
            <w:hideMark/>
          </w:tcPr>
          <w:p w14:paraId="32D9AAE0" w14:textId="77777777" w:rsidR="001012AF" w:rsidRPr="00707CE0" w:rsidRDefault="001012AF" w:rsidP="00A17557">
            <w:pPr>
              <w:ind w:firstLineChars="100" w:firstLine="220"/>
              <w:jc w:val="right"/>
              <w:rPr>
                <w:color w:val="000000"/>
                <w:sz w:val="22"/>
                <w:szCs w:val="22"/>
              </w:rPr>
            </w:pPr>
            <w:r w:rsidRPr="00707CE0">
              <w:rPr>
                <w:color w:val="000000"/>
                <w:sz w:val="22"/>
                <w:szCs w:val="22"/>
              </w:rPr>
              <w:t>14 651 490</w:t>
            </w:r>
          </w:p>
        </w:tc>
      </w:tr>
      <w:tr w:rsidR="001012AF" w:rsidRPr="00707CE0" w14:paraId="19242007" w14:textId="77777777" w:rsidTr="00A17557">
        <w:trPr>
          <w:trHeight w:val="170"/>
          <w:tblCellSpacing w:w="20" w:type="dxa"/>
        </w:trPr>
        <w:tc>
          <w:tcPr>
            <w:tcW w:w="1291" w:type="dxa"/>
            <w:shd w:val="clear" w:color="auto" w:fill="auto"/>
            <w:vAlign w:val="center"/>
            <w:hideMark/>
          </w:tcPr>
          <w:p w14:paraId="52455F49" w14:textId="77777777" w:rsidR="001012AF" w:rsidRPr="00707CE0" w:rsidRDefault="001012AF" w:rsidP="00A17557">
            <w:pPr>
              <w:ind w:firstLineChars="3" w:firstLine="7"/>
              <w:rPr>
                <w:color w:val="000000"/>
                <w:sz w:val="22"/>
                <w:szCs w:val="22"/>
              </w:rPr>
            </w:pPr>
            <w:r w:rsidRPr="00707CE0">
              <w:rPr>
                <w:color w:val="000000"/>
                <w:sz w:val="22"/>
                <w:szCs w:val="22"/>
              </w:rPr>
              <w:t>100.6.2</w:t>
            </w:r>
          </w:p>
        </w:tc>
        <w:tc>
          <w:tcPr>
            <w:tcW w:w="7398" w:type="dxa"/>
            <w:shd w:val="clear" w:color="auto" w:fill="auto"/>
            <w:vAlign w:val="center"/>
            <w:hideMark/>
          </w:tcPr>
          <w:p w14:paraId="4A654531" w14:textId="77777777" w:rsidR="001012AF" w:rsidRPr="00707CE0" w:rsidRDefault="001012AF" w:rsidP="00A17557">
            <w:pPr>
              <w:rPr>
                <w:color w:val="000000"/>
                <w:sz w:val="22"/>
                <w:szCs w:val="22"/>
              </w:rPr>
            </w:pPr>
            <w:r w:rsidRPr="00707CE0">
              <w:rPr>
                <w:color w:val="000000"/>
                <w:sz w:val="22"/>
                <w:szCs w:val="22"/>
              </w:rPr>
              <w:t>переоценка ценных бумаг, справедливая стоимость которых определяется иначе, чем средневзвешенная цена, раскрываемая организатором торговли на рынке ценных бумаг</w:t>
            </w:r>
          </w:p>
        </w:tc>
        <w:tc>
          <w:tcPr>
            <w:tcW w:w="1641" w:type="dxa"/>
            <w:shd w:val="clear" w:color="auto" w:fill="auto"/>
            <w:noWrap/>
            <w:vAlign w:val="center"/>
            <w:hideMark/>
          </w:tcPr>
          <w:p w14:paraId="2A1C4231" w14:textId="77777777" w:rsidR="001012AF" w:rsidRPr="00707CE0" w:rsidRDefault="001012AF" w:rsidP="00A17557">
            <w:pPr>
              <w:ind w:firstLineChars="100" w:firstLine="220"/>
              <w:jc w:val="right"/>
              <w:rPr>
                <w:color w:val="000000"/>
                <w:sz w:val="22"/>
                <w:szCs w:val="22"/>
              </w:rPr>
            </w:pPr>
            <w:r w:rsidRPr="00707CE0">
              <w:rPr>
                <w:color w:val="000000"/>
                <w:sz w:val="22"/>
                <w:szCs w:val="22"/>
              </w:rPr>
              <w:t>69 577</w:t>
            </w:r>
          </w:p>
        </w:tc>
      </w:tr>
      <w:tr w:rsidR="001012AF" w:rsidRPr="00707CE0" w14:paraId="57888565" w14:textId="77777777" w:rsidTr="00A17557">
        <w:trPr>
          <w:trHeight w:val="170"/>
          <w:tblCellSpacing w:w="20" w:type="dxa"/>
        </w:trPr>
        <w:tc>
          <w:tcPr>
            <w:tcW w:w="1291" w:type="dxa"/>
            <w:shd w:val="clear" w:color="auto" w:fill="auto"/>
            <w:vAlign w:val="center"/>
            <w:hideMark/>
          </w:tcPr>
          <w:p w14:paraId="19ED784C" w14:textId="77777777" w:rsidR="001012AF" w:rsidRPr="00707CE0" w:rsidRDefault="001012AF" w:rsidP="00A17557">
            <w:pPr>
              <w:ind w:firstLineChars="3" w:firstLine="7"/>
              <w:rPr>
                <w:color w:val="000000"/>
                <w:sz w:val="22"/>
                <w:szCs w:val="22"/>
              </w:rPr>
            </w:pPr>
            <w:r w:rsidRPr="00707CE0">
              <w:rPr>
                <w:color w:val="000000"/>
                <w:sz w:val="22"/>
                <w:szCs w:val="22"/>
              </w:rPr>
              <w:t>101</w:t>
            </w:r>
          </w:p>
        </w:tc>
        <w:tc>
          <w:tcPr>
            <w:tcW w:w="7398" w:type="dxa"/>
            <w:shd w:val="clear" w:color="auto" w:fill="auto"/>
            <w:vAlign w:val="center"/>
            <w:hideMark/>
          </w:tcPr>
          <w:p w14:paraId="462CC796" w14:textId="77777777" w:rsidR="001012AF" w:rsidRPr="00707CE0" w:rsidRDefault="001012AF" w:rsidP="00A17557">
            <w:pPr>
              <w:rPr>
                <w:color w:val="000000"/>
                <w:sz w:val="22"/>
                <w:szCs w:val="22"/>
              </w:rPr>
            </w:pPr>
            <w:r w:rsidRPr="00707CE0">
              <w:rPr>
                <w:color w:val="000000"/>
                <w:sz w:val="22"/>
                <w:szCs w:val="22"/>
              </w:rPr>
              <w:t>Показатели, уменьшающие сумму источников базового капитала:</w:t>
            </w:r>
          </w:p>
        </w:tc>
        <w:tc>
          <w:tcPr>
            <w:tcW w:w="1641" w:type="dxa"/>
            <w:shd w:val="clear" w:color="auto" w:fill="auto"/>
            <w:noWrap/>
            <w:vAlign w:val="center"/>
            <w:hideMark/>
          </w:tcPr>
          <w:p w14:paraId="3EF1A660" w14:textId="77777777" w:rsidR="001012AF" w:rsidRPr="00707CE0" w:rsidRDefault="001012AF" w:rsidP="00A17557">
            <w:pPr>
              <w:ind w:firstLineChars="100" w:firstLine="220"/>
              <w:jc w:val="right"/>
              <w:rPr>
                <w:color w:val="000000"/>
                <w:sz w:val="22"/>
                <w:szCs w:val="22"/>
              </w:rPr>
            </w:pPr>
            <w:r w:rsidRPr="00707CE0">
              <w:rPr>
                <w:color w:val="000000"/>
                <w:sz w:val="22"/>
                <w:szCs w:val="22"/>
              </w:rPr>
              <w:t>24 620</w:t>
            </w:r>
          </w:p>
        </w:tc>
      </w:tr>
      <w:tr w:rsidR="001012AF" w:rsidRPr="00707CE0" w14:paraId="0A6173E8" w14:textId="77777777" w:rsidTr="00A17557">
        <w:trPr>
          <w:trHeight w:val="170"/>
          <w:tblCellSpacing w:w="20" w:type="dxa"/>
        </w:trPr>
        <w:tc>
          <w:tcPr>
            <w:tcW w:w="1291" w:type="dxa"/>
            <w:shd w:val="clear" w:color="auto" w:fill="auto"/>
            <w:vAlign w:val="center"/>
            <w:hideMark/>
          </w:tcPr>
          <w:p w14:paraId="2B724956" w14:textId="77777777" w:rsidR="001012AF" w:rsidRPr="00707CE0" w:rsidRDefault="001012AF" w:rsidP="00A17557">
            <w:pPr>
              <w:ind w:firstLineChars="3" w:firstLine="7"/>
              <w:rPr>
                <w:color w:val="000000"/>
                <w:sz w:val="22"/>
                <w:szCs w:val="22"/>
              </w:rPr>
            </w:pPr>
            <w:r w:rsidRPr="00707CE0">
              <w:rPr>
                <w:color w:val="000000"/>
                <w:sz w:val="22"/>
                <w:szCs w:val="22"/>
              </w:rPr>
              <w:t>101.1</w:t>
            </w:r>
          </w:p>
        </w:tc>
        <w:tc>
          <w:tcPr>
            <w:tcW w:w="7398" w:type="dxa"/>
            <w:shd w:val="clear" w:color="auto" w:fill="auto"/>
            <w:vAlign w:val="center"/>
            <w:hideMark/>
          </w:tcPr>
          <w:p w14:paraId="5A743352" w14:textId="77777777" w:rsidR="001012AF" w:rsidRPr="00707CE0" w:rsidRDefault="001012AF" w:rsidP="00A17557">
            <w:pPr>
              <w:rPr>
                <w:color w:val="000000"/>
                <w:sz w:val="22"/>
                <w:szCs w:val="22"/>
              </w:rPr>
            </w:pPr>
            <w:r w:rsidRPr="00707CE0">
              <w:rPr>
                <w:color w:val="000000"/>
                <w:sz w:val="22"/>
                <w:szCs w:val="22"/>
              </w:rPr>
              <w:t>Нематериальные активы, всего, в том числе:</w:t>
            </w:r>
          </w:p>
        </w:tc>
        <w:tc>
          <w:tcPr>
            <w:tcW w:w="1641" w:type="dxa"/>
            <w:shd w:val="clear" w:color="auto" w:fill="auto"/>
            <w:noWrap/>
            <w:vAlign w:val="center"/>
            <w:hideMark/>
          </w:tcPr>
          <w:p w14:paraId="36E1AAC7" w14:textId="77777777" w:rsidR="001012AF" w:rsidRPr="00707CE0" w:rsidRDefault="001012AF" w:rsidP="00A17557">
            <w:pPr>
              <w:ind w:firstLineChars="100" w:firstLine="220"/>
              <w:jc w:val="right"/>
              <w:rPr>
                <w:color w:val="000000"/>
                <w:sz w:val="22"/>
                <w:szCs w:val="22"/>
              </w:rPr>
            </w:pPr>
            <w:r w:rsidRPr="00707CE0">
              <w:rPr>
                <w:color w:val="000000"/>
                <w:sz w:val="22"/>
                <w:szCs w:val="22"/>
              </w:rPr>
              <w:t>23 702</w:t>
            </w:r>
          </w:p>
        </w:tc>
      </w:tr>
      <w:tr w:rsidR="001012AF" w:rsidRPr="00707CE0" w14:paraId="50CFADF1" w14:textId="77777777" w:rsidTr="00A17557">
        <w:trPr>
          <w:trHeight w:val="170"/>
          <w:tblCellSpacing w:w="20" w:type="dxa"/>
        </w:trPr>
        <w:tc>
          <w:tcPr>
            <w:tcW w:w="1291" w:type="dxa"/>
            <w:shd w:val="clear" w:color="auto" w:fill="auto"/>
            <w:vAlign w:val="center"/>
            <w:hideMark/>
          </w:tcPr>
          <w:p w14:paraId="57A83610" w14:textId="77777777" w:rsidR="001012AF" w:rsidRPr="00707CE0" w:rsidRDefault="001012AF" w:rsidP="00A17557">
            <w:pPr>
              <w:ind w:firstLineChars="3" w:firstLine="7"/>
              <w:rPr>
                <w:color w:val="000000"/>
                <w:sz w:val="22"/>
                <w:szCs w:val="22"/>
              </w:rPr>
            </w:pPr>
            <w:r w:rsidRPr="00707CE0">
              <w:rPr>
                <w:color w:val="000000"/>
                <w:sz w:val="22"/>
                <w:szCs w:val="22"/>
              </w:rPr>
              <w:t>101.4</w:t>
            </w:r>
          </w:p>
        </w:tc>
        <w:tc>
          <w:tcPr>
            <w:tcW w:w="7398" w:type="dxa"/>
            <w:shd w:val="clear" w:color="auto" w:fill="auto"/>
            <w:vAlign w:val="center"/>
            <w:hideMark/>
          </w:tcPr>
          <w:p w14:paraId="6B2EF926" w14:textId="77777777" w:rsidR="001012AF" w:rsidRPr="00707CE0" w:rsidRDefault="001012AF" w:rsidP="00A17557">
            <w:pPr>
              <w:rPr>
                <w:color w:val="000000"/>
                <w:sz w:val="22"/>
                <w:szCs w:val="22"/>
              </w:rPr>
            </w:pPr>
            <w:r w:rsidRPr="00707CE0">
              <w:rPr>
                <w:color w:val="000000"/>
                <w:sz w:val="22"/>
                <w:szCs w:val="22"/>
              </w:rPr>
              <w:t>Вложения в собственные обыкновенные акции, привилегированные акции и иные источники собственных средств (капитала), всего, в том числе:</w:t>
            </w:r>
          </w:p>
        </w:tc>
        <w:tc>
          <w:tcPr>
            <w:tcW w:w="1641" w:type="dxa"/>
            <w:shd w:val="clear" w:color="auto" w:fill="auto"/>
            <w:noWrap/>
            <w:vAlign w:val="center"/>
            <w:hideMark/>
          </w:tcPr>
          <w:p w14:paraId="041911E2" w14:textId="77777777" w:rsidR="001012AF" w:rsidRPr="00707CE0" w:rsidRDefault="001012AF" w:rsidP="00A17557">
            <w:pPr>
              <w:ind w:firstLineChars="100" w:firstLine="220"/>
              <w:jc w:val="right"/>
              <w:rPr>
                <w:color w:val="000000"/>
                <w:sz w:val="22"/>
                <w:szCs w:val="22"/>
              </w:rPr>
            </w:pPr>
            <w:r w:rsidRPr="00707CE0">
              <w:rPr>
                <w:color w:val="000000"/>
                <w:sz w:val="22"/>
                <w:szCs w:val="22"/>
              </w:rPr>
              <w:t>918</w:t>
            </w:r>
          </w:p>
        </w:tc>
      </w:tr>
      <w:tr w:rsidR="001012AF" w:rsidRPr="00707CE0" w14:paraId="6CA1AD9B" w14:textId="77777777" w:rsidTr="00A17557">
        <w:trPr>
          <w:trHeight w:val="170"/>
          <w:tblCellSpacing w:w="20" w:type="dxa"/>
        </w:trPr>
        <w:tc>
          <w:tcPr>
            <w:tcW w:w="1291" w:type="dxa"/>
            <w:shd w:val="clear" w:color="auto" w:fill="auto"/>
            <w:vAlign w:val="center"/>
            <w:hideMark/>
          </w:tcPr>
          <w:p w14:paraId="4A50E226" w14:textId="77777777" w:rsidR="001012AF" w:rsidRPr="00707CE0" w:rsidRDefault="001012AF" w:rsidP="00A17557">
            <w:pPr>
              <w:ind w:firstLineChars="3" w:firstLine="7"/>
              <w:rPr>
                <w:color w:val="000000"/>
                <w:sz w:val="22"/>
                <w:szCs w:val="22"/>
              </w:rPr>
            </w:pPr>
            <w:r w:rsidRPr="00707CE0">
              <w:rPr>
                <w:color w:val="000000"/>
                <w:sz w:val="22"/>
                <w:szCs w:val="22"/>
              </w:rPr>
              <w:t>101.4.2</w:t>
            </w:r>
          </w:p>
        </w:tc>
        <w:tc>
          <w:tcPr>
            <w:tcW w:w="7398" w:type="dxa"/>
            <w:shd w:val="clear" w:color="auto" w:fill="auto"/>
            <w:vAlign w:val="center"/>
            <w:hideMark/>
          </w:tcPr>
          <w:p w14:paraId="1C009F5A" w14:textId="77777777" w:rsidR="001012AF" w:rsidRPr="00707CE0" w:rsidRDefault="001012AF" w:rsidP="00A17557">
            <w:pPr>
              <w:rPr>
                <w:color w:val="000000"/>
                <w:sz w:val="22"/>
                <w:szCs w:val="22"/>
              </w:rPr>
            </w:pPr>
            <w:r w:rsidRPr="00707CE0">
              <w:rPr>
                <w:color w:val="000000"/>
                <w:sz w:val="22"/>
                <w:szCs w:val="22"/>
              </w:rPr>
              <w:t>косвенные (через третьих лиц) вложения за счет денежных средств (в том числе за счет ссуды) и (или) иного имущества, предоставленного самой кредитной организацией, и (или) имущества, предоставленного третьими лицами, в случае, если кредитная организация прямо или косвенно (через третьих лиц) приняла на себя риски, возникшие в связи с предоставлением указанного имущества (за исключением встречных вложений кредитной организации и финансовой организации)</w:t>
            </w:r>
          </w:p>
        </w:tc>
        <w:tc>
          <w:tcPr>
            <w:tcW w:w="1641" w:type="dxa"/>
            <w:shd w:val="clear" w:color="auto" w:fill="auto"/>
            <w:noWrap/>
            <w:vAlign w:val="center"/>
            <w:hideMark/>
          </w:tcPr>
          <w:p w14:paraId="5EEE077A" w14:textId="77777777" w:rsidR="001012AF" w:rsidRPr="00707CE0" w:rsidRDefault="001012AF" w:rsidP="00A17557">
            <w:pPr>
              <w:ind w:firstLineChars="100" w:firstLine="220"/>
              <w:jc w:val="right"/>
              <w:rPr>
                <w:color w:val="000000"/>
                <w:sz w:val="22"/>
                <w:szCs w:val="22"/>
              </w:rPr>
            </w:pPr>
            <w:r w:rsidRPr="00707CE0">
              <w:rPr>
                <w:color w:val="000000"/>
                <w:sz w:val="22"/>
                <w:szCs w:val="22"/>
              </w:rPr>
              <w:t>918</w:t>
            </w:r>
          </w:p>
        </w:tc>
      </w:tr>
      <w:tr w:rsidR="001012AF" w:rsidRPr="00707CE0" w14:paraId="16633863" w14:textId="77777777" w:rsidTr="00A17557">
        <w:trPr>
          <w:trHeight w:val="170"/>
          <w:tblCellSpacing w:w="20" w:type="dxa"/>
        </w:trPr>
        <w:tc>
          <w:tcPr>
            <w:tcW w:w="1291" w:type="dxa"/>
            <w:shd w:val="clear" w:color="auto" w:fill="auto"/>
            <w:vAlign w:val="center"/>
            <w:hideMark/>
          </w:tcPr>
          <w:p w14:paraId="118E0ECB" w14:textId="77777777" w:rsidR="001012AF" w:rsidRPr="00707CE0" w:rsidRDefault="001012AF" w:rsidP="00A17557">
            <w:pPr>
              <w:ind w:firstLineChars="3" w:firstLine="7"/>
              <w:rPr>
                <w:color w:val="000000"/>
                <w:sz w:val="22"/>
                <w:szCs w:val="22"/>
              </w:rPr>
            </w:pPr>
            <w:r w:rsidRPr="00707CE0">
              <w:rPr>
                <w:color w:val="000000"/>
                <w:sz w:val="22"/>
                <w:szCs w:val="22"/>
              </w:rPr>
              <w:t>102</w:t>
            </w:r>
          </w:p>
        </w:tc>
        <w:tc>
          <w:tcPr>
            <w:tcW w:w="7398" w:type="dxa"/>
            <w:shd w:val="clear" w:color="auto" w:fill="auto"/>
            <w:vAlign w:val="center"/>
            <w:hideMark/>
          </w:tcPr>
          <w:p w14:paraId="11DA426A" w14:textId="77777777" w:rsidR="001012AF" w:rsidRPr="00707CE0" w:rsidRDefault="001012AF" w:rsidP="00A17557">
            <w:pPr>
              <w:rPr>
                <w:color w:val="000000"/>
                <w:sz w:val="22"/>
                <w:szCs w:val="22"/>
              </w:rPr>
            </w:pPr>
            <w:r w:rsidRPr="00707CE0">
              <w:rPr>
                <w:color w:val="000000"/>
                <w:sz w:val="22"/>
                <w:szCs w:val="22"/>
              </w:rPr>
              <w:t>Базовый капитал, итого</w:t>
            </w:r>
          </w:p>
        </w:tc>
        <w:tc>
          <w:tcPr>
            <w:tcW w:w="1641" w:type="dxa"/>
            <w:shd w:val="clear" w:color="auto" w:fill="auto"/>
            <w:noWrap/>
            <w:vAlign w:val="center"/>
            <w:hideMark/>
          </w:tcPr>
          <w:p w14:paraId="7D32869D" w14:textId="77777777" w:rsidR="001012AF" w:rsidRPr="00707CE0" w:rsidRDefault="001012AF" w:rsidP="00A17557">
            <w:pPr>
              <w:ind w:firstLineChars="100" w:firstLine="220"/>
              <w:jc w:val="right"/>
              <w:rPr>
                <w:color w:val="000000"/>
                <w:sz w:val="22"/>
                <w:szCs w:val="22"/>
              </w:rPr>
            </w:pPr>
            <w:r w:rsidRPr="00707CE0">
              <w:rPr>
                <w:color w:val="000000"/>
                <w:sz w:val="22"/>
                <w:szCs w:val="22"/>
              </w:rPr>
              <w:t>19 748 320</w:t>
            </w:r>
          </w:p>
        </w:tc>
      </w:tr>
      <w:tr w:rsidR="001012AF" w:rsidRPr="00707CE0" w14:paraId="698DF632" w14:textId="77777777" w:rsidTr="00A17557">
        <w:trPr>
          <w:trHeight w:val="170"/>
          <w:tblCellSpacing w:w="20" w:type="dxa"/>
        </w:trPr>
        <w:tc>
          <w:tcPr>
            <w:tcW w:w="1291" w:type="dxa"/>
            <w:shd w:val="clear" w:color="auto" w:fill="auto"/>
            <w:vAlign w:val="center"/>
            <w:hideMark/>
          </w:tcPr>
          <w:p w14:paraId="7776F179" w14:textId="77777777" w:rsidR="001012AF" w:rsidRPr="00707CE0" w:rsidRDefault="001012AF" w:rsidP="00A17557">
            <w:pPr>
              <w:ind w:firstLineChars="3" w:firstLine="7"/>
              <w:rPr>
                <w:color w:val="000000"/>
                <w:sz w:val="22"/>
                <w:szCs w:val="22"/>
              </w:rPr>
            </w:pPr>
            <w:r w:rsidRPr="00707CE0">
              <w:rPr>
                <w:color w:val="000000"/>
                <w:sz w:val="22"/>
                <w:szCs w:val="22"/>
              </w:rPr>
              <w:t>103</w:t>
            </w:r>
          </w:p>
        </w:tc>
        <w:tc>
          <w:tcPr>
            <w:tcW w:w="7398" w:type="dxa"/>
            <w:shd w:val="clear" w:color="auto" w:fill="auto"/>
            <w:vAlign w:val="center"/>
            <w:hideMark/>
          </w:tcPr>
          <w:p w14:paraId="291AA20C" w14:textId="77777777" w:rsidR="001012AF" w:rsidRPr="00707CE0" w:rsidRDefault="001012AF" w:rsidP="00A17557">
            <w:pPr>
              <w:rPr>
                <w:color w:val="000000"/>
                <w:sz w:val="22"/>
                <w:szCs w:val="22"/>
              </w:rPr>
            </w:pPr>
            <w:r w:rsidRPr="00707CE0">
              <w:rPr>
                <w:color w:val="000000"/>
                <w:sz w:val="22"/>
                <w:szCs w:val="22"/>
              </w:rPr>
              <w:t>Источники добавочного капитала:</w:t>
            </w:r>
          </w:p>
        </w:tc>
        <w:tc>
          <w:tcPr>
            <w:tcW w:w="1641" w:type="dxa"/>
            <w:shd w:val="clear" w:color="auto" w:fill="auto"/>
            <w:noWrap/>
            <w:vAlign w:val="center"/>
            <w:hideMark/>
          </w:tcPr>
          <w:p w14:paraId="7DC78032" w14:textId="77777777" w:rsidR="001012AF" w:rsidRPr="00707CE0" w:rsidRDefault="001012AF" w:rsidP="00A17557">
            <w:pPr>
              <w:ind w:firstLineChars="100" w:firstLine="220"/>
              <w:jc w:val="right"/>
              <w:rPr>
                <w:color w:val="000000"/>
                <w:sz w:val="22"/>
                <w:szCs w:val="22"/>
              </w:rPr>
            </w:pPr>
            <w:r w:rsidRPr="00707CE0">
              <w:rPr>
                <w:color w:val="000000"/>
                <w:sz w:val="22"/>
                <w:szCs w:val="22"/>
              </w:rPr>
              <w:t>0</w:t>
            </w:r>
          </w:p>
        </w:tc>
      </w:tr>
      <w:tr w:rsidR="001012AF" w:rsidRPr="00707CE0" w14:paraId="6D75B89F" w14:textId="77777777" w:rsidTr="00A17557">
        <w:trPr>
          <w:trHeight w:val="170"/>
          <w:tblCellSpacing w:w="20" w:type="dxa"/>
        </w:trPr>
        <w:tc>
          <w:tcPr>
            <w:tcW w:w="1291" w:type="dxa"/>
            <w:shd w:val="clear" w:color="auto" w:fill="auto"/>
            <w:vAlign w:val="center"/>
            <w:hideMark/>
          </w:tcPr>
          <w:p w14:paraId="062ADC12" w14:textId="77777777" w:rsidR="001012AF" w:rsidRPr="00707CE0" w:rsidRDefault="001012AF" w:rsidP="00A17557">
            <w:pPr>
              <w:ind w:firstLineChars="3" w:firstLine="7"/>
              <w:rPr>
                <w:color w:val="000000"/>
                <w:sz w:val="22"/>
                <w:szCs w:val="22"/>
              </w:rPr>
            </w:pPr>
            <w:r w:rsidRPr="00707CE0">
              <w:rPr>
                <w:color w:val="000000"/>
                <w:sz w:val="22"/>
                <w:szCs w:val="22"/>
              </w:rPr>
              <w:t>105</w:t>
            </w:r>
          </w:p>
        </w:tc>
        <w:tc>
          <w:tcPr>
            <w:tcW w:w="7398" w:type="dxa"/>
            <w:shd w:val="clear" w:color="auto" w:fill="auto"/>
            <w:vAlign w:val="center"/>
            <w:hideMark/>
          </w:tcPr>
          <w:p w14:paraId="35495457" w14:textId="77777777" w:rsidR="001012AF" w:rsidRPr="00707CE0" w:rsidRDefault="001012AF" w:rsidP="00A17557">
            <w:pPr>
              <w:rPr>
                <w:color w:val="000000"/>
                <w:sz w:val="22"/>
                <w:szCs w:val="22"/>
              </w:rPr>
            </w:pPr>
            <w:r w:rsidRPr="00707CE0">
              <w:rPr>
                <w:color w:val="000000"/>
                <w:sz w:val="22"/>
                <w:szCs w:val="22"/>
              </w:rPr>
              <w:t>Добавочный капитал, итого</w:t>
            </w:r>
          </w:p>
        </w:tc>
        <w:tc>
          <w:tcPr>
            <w:tcW w:w="1641" w:type="dxa"/>
            <w:shd w:val="clear" w:color="auto" w:fill="auto"/>
            <w:noWrap/>
            <w:vAlign w:val="center"/>
            <w:hideMark/>
          </w:tcPr>
          <w:p w14:paraId="5935511D" w14:textId="77777777" w:rsidR="001012AF" w:rsidRPr="00707CE0" w:rsidRDefault="001012AF" w:rsidP="00A17557">
            <w:pPr>
              <w:ind w:firstLineChars="100" w:firstLine="220"/>
              <w:jc w:val="right"/>
              <w:rPr>
                <w:color w:val="000000"/>
                <w:sz w:val="22"/>
                <w:szCs w:val="22"/>
              </w:rPr>
            </w:pPr>
            <w:r w:rsidRPr="00707CE0">
              <w:rPr>
                <w:color w:val="000000"/>
                <w:sz w:val="22"/>
                <w:szCs w:val="22"/>
              </w:rPr>
              <w:t>0</w:t>
            </w:r>
          </w:p>
        </w:tc>
      </w:tr>
      <w:tr w:rsidR="001012AF" w:rsidRPr="00707CE0" w14:paraId="147CF951" w14:textId="77777777" w:rsidTr="00A17557">
        <w:trPr>
          <w:trHeight w:val="170"/>
          <w:tblCellSpacing w:w="20" w:type="dxa"/>
        </w:trPr>
        <w:tc>
          <w:tcPr>
            <w:tcW w:w="1291" w:type="dxa"/>
            <w:shd w:val="clear" w:color="auto" w:fill="auto"/>
            <w:vAlign w:val="center"/>
            <w:hideMark/>
          </w:tcPr>
          <w:p w14:paraId="5838ABF6" w14:textId="77777777" w:rsidR="001012AF" w:rsidRPr="00707CE0" w:rsidRDefault="001012AF" w:rsidP="00A17557">
            <w:pPr>
              <w:ind w:firstLineChars="3" w:firstLine="7"/>
              <w:rPr>
                <w:color w:val="000000"/>
                <w:sz w:val="22"/>
                <w:szCs w:val="22"/>
              </w:rPr>
            </w:pPr>
            <w:r w:rsidRPr="00707CE0">
              <w:rPr>
                <w:color w:val="000000"/>
                <w:sz w:val="22"/>
                <w:szCs w:val="22"/>
              </w:rPr>
              <w:t>106</w:t>
            </w:r>
          </w:p>
        </w:tc>
        <w:tc>
          <w:tcPr>
            <w:tcW w:w="7398" w:type="dxa"/>
            <w:shd w:val="clear" w:color="auto" w:fill="auto"/>
            <w:vAlign w:val="center"/>
            <w:hideMark/>
          </w:tcPr>
          <w:p w14:paraId="1129F47B" w14:textId="77777777" w:rsidR="001012AF" w:rsidRPr="00707CE0" w:rsidRDefault="001012AF" w:rsidP="00A17557">
            <w:pPr>
              <w:rPr>
                <w:color w:val="000000"/>
                <w:sz w:val="22"/>
                <w:szCs w:val="22"/>
              </w:rPr>
            </w:pPr>
            <w:r w:rsidRPr="00707CE0">
              <w:rPr>
                <w:color w:val="000000"/>
                <w:sz w:val="22"/>
                <w:szCs w:val="22"/>
              </w:rPr>
              <w:t>Основной капитал, итого</w:t>
            </w:r>
          </w:p>
        </w:tc>
        <w:tc>
          <w:tcPr>
            <w:tcW w:w="1641" w:type="dxa"/>
            <w:shd w:val="clear" w:color="auto" w:fill="auto"/>
            <w:noWrap/>
            <w:vAlign w:val="center"/>
            <w:hideMark/>
          </w:tcPr>
          <w:p w14:paraId="1194CCAE" w14:textId="77777777" w:rsidR="001012AF" w:rsidRPr="00707CE0" w:rsidRDefault="001012AF" w:rsidP="00A17557">
            <w:pPr>
              <w:ind w:firstLineChars="100" w:firstLine="220"/>
              <w:jc w:val="right"/>
              <w:rPr>
                <w:color w:val="000000"/>
                <w:sz w:val="22"/>
                <w:szCs w:val="22"/>
              </w:rPr>
            </w:pPr>
            <w:r w:rsidRPr="00707CE0">
              <w:rPr>
                <w:color w:val="000000"/>
                <w:sz w:val="22"/>
                <w:szCs w:val="22"/>
              </w:rPr>
              <w:t>19 748 320</w:t>
            </w:r>
          </w:p>
        </w:tc>
      </w:tr>
      <w:tr w:rsidR="001012AF" w:rsidRPr="00707CE0" w14:paraId="193C41D3" w14:textId="77777777" w:rsidTr="00A17557">
        <w:trPr>
          <w:trHeight w:val="170"/>
          <w:tblCellSpacing w:w="20" w:type="dxa"/>
        </w:trPr>
        <w:tc>
          <w:tcPr>
            <w:tcW w:w="1291" w:type="dxa"/>
            <w:shd w:val="clear" w:color="auto" w:fill="auto"/>
            <w:vAlign w:val="center"/>
            <w:hideMark/>
          </w:tcPr>
          <w:p w14:paraId="1975648E" w14:textId="77777777" w:rsidR="001012AF" w:rsidRPr="00707CE0" w:rsidRDefault="001012AF" w:rsidP="00A17557">
            <w:pPr>
              <w:ind w:firstLineChars="3" w:firstLine="7"/>
              <w:rPr>
                <w:color w:val="000000"/>
                <w:sz w:val="22"/>
                <w:szCs w:val="22"/>
              </w:rPr>
            </w:pPr>
            <w:r w:rsidRPr="00707CE0">
              <w:rPr>
                <w:color w:val="000000"/>
                <w:sz w:val="22"/>
                <w:szCs w:val="22"/>
              </w:rPr>
              <w:t>200</w:t>
            </w:r>
          </w:p>
        </w:tc>
        <w:tc>
          <w:tcPr>
            <w:tcW w:w="7398" w:type="dxa"/>
            <w:shd w:val="clear" w:color="auto" w:fill="auto"/>
            <w:vAlign w:val="center"/>
            <w:hideMark/>
          </w:tcPr>
          <w:p w14:paraId="479F640B" w14:textId="77777777" w:rsidR="001012AF" w:rsidRPr="00707CE0" w:rsidRDefault="001012AF" w:rsidP="00A17557">
            <w:pPr>
              <w:rPr>
                <w:color w:val="000000"/>
                <w:sz w:val="22"/>
                <w:szCs w:val="22"/>
              </w:rPr>
            </w:pPr>
            <w:r w:rsidRPr="00707CE0">
              <w:rPr>
                <w:color w:val="000000"/>
                <w:sz w:val="22"/>
                <w:szCs w:val="22"/>
              </w:rPr>
              <w:t>Источники дополнительного капитала:</w:t>
            </w:r>
          </w:p>
        </w:tc>
        <w:tc>
          <w:tcPr>
            <w:tcW w:w="1641" w:type="dxa"/>
            <w:shd w:val="clear" w:color="auto" w:fill="auto"/>
            <w:noWrap/>
            <w:vAlign w:val="center"/>
            <w:hideMark/>
          </w:tcPr>
          <w:p w14:paraId="48CDC646" w14:textId="77777777" w:rsidR="001012AF" w:rsidRPr="00707CE0" w:rsidRDefault="001012AF" w:rsidP="00A17557">
            <w:pPr>
              <w:ind w:firstLineChars="100" w:firstLine="220"/>
              <w:jc w:val="right"/>
              <w:rPr>
                <w:color w:val="000000"/>
                <w:sz w:val="22"/>
                <w:szCs w:val="22"/>
              </w:rPr>
            </w:pPr>
            <w:r w:rsidRPr="00707CE0">
              <w:rPr>
                <w:color w:val="000000"/>
                <w:sz w:val="22"/>
                <w:szCs w:val="22"/>
              </w:rPr>
              <w:t>1 934 344</w:t>
            </w:r>
          </w:p>
        </w:tc>
      </w:tr>
      <w:tr w:rsidR="001012AF" w:rsidRPr="00707CE0" w14:paraId="0CA0EC0F" w14:textId="77777777" w:rsidTr="00A17557">
        <w:trPr>
          <w:trHeight w:val="170"/>
          <w:tblCellSpacing w:w="20" w:type="dxa"/>
        </w:trPr>
        <w:tc>
          <w:tcPr>
            <w:tcW w:w="1291" w:type="dxa"/>
            <w:shd w:val="clear" w:color="auto" w:fill="auto"/>
            <w:vAlign w:val="center"/>
            <w:hideMark/>
          </w:tcPr>
          <w:p w14:paraId="37B5FFB0" w14:textId="77777777" w:rsidR="001012AF" w:rsidRPr="00707CE0" w:rsidRDefault="001012AF" w:rsidP="00A17557">
            <w:pPr>
              <w:ind w:firstLineChars="3" w:firstLine="7"/>
              <w:rPr>
                <w:color w:val="000000"/>
                <w:sz w:val="22"/>
                <w:szCs w:val="22"/>
              </w:rPr>
            </w:pPr>
            <w:r w:rsidRPr="00707CE0">
              <w:rPr>
                <w:color w:val="000000"/>
                <w:sz w:val="22"/>
                <w:szCs w:val="22"/>
              </w:rPr>
              <w:lastRenderedPageBreak/>
              <w:t>200.5</w:t>
            </w:r>
          </w:p>
        </w:tc>
        <w:tc>
          <w:tcPr>
            <w:tcW w:w="7398" w:type="dxa"/>
            <w:shd w:val="clear" w:color="auto" w:fill="auto"/>
            <w:vAlign w:val="center"/>
            <w:hideMark/>
          </w:tcPr>
          <w:p w14:paraId="5C1EDA14" w14:textId="77777777" w:rsidR="001012AF" w:rsidRPr="00707CE0" w:rsidRDefault="001012AF" w:rsidP="00A17557">
            <w:pPr>
              <w:rPr>
                <w:color w:val="000000"/>
                <w:sz w:val="22"/>
                <w:szCs w:val="22"/>
              </w:rPr>
            </w:pPr>
            <w:r w:rsidRPr="00707CE0">
              <w:rPr>
                <w:color w:val="000000"/>
                <w:sz w:val="22"/>
                <w:szCs w:val="22"/>
              </w:rPr>
              <w:t>Прибыль текущего года (ее часть), не подтвержденная аудиторской организацией, всего, в том числе:</w:t>
            </w:r>
          </w:p>
        </w:tc>
        <w:tc>
          <w:tcPr>
            <w:tcW w:w="1641" w:type="dxa"/>
            <w:shd w:val="clear" w:color="auto" w:fill="auto"/>
            <w:noWrap/>
            <w:vAlign w:val="center"/>
            <w:hideMark/>
          </w:tcPr>
          <w:p w14:paraId="26A1149F" w14:textId="77777777" w:rsidR="001012AF" w:rsidRPr="00707CE0" w:rsidRDefault="001012AF" w:rsidP="00A17557">
            <w:pPr>
              <w:ind w:firstLineChars="100" w:firstLine="220"/>
              <w:jc w:val="right"/>
              <w:rPr>
                <w:color w:val="000000"/>
                <w:sz w:val="22"/>
                <w:szCs w:val="22"/>
              </w:rPr>
            </w:pPr>
            <w:r w:rsidRPr="00707CE0">
              <w:rPr>
                <w:color w:val="000000"/>
                <w:sz w:val="22"/>
                <w:szCs w:val="22"/>
              </w:rPr>
              <w:t>1 127 781</w:t>
            </w:r>
          </w:p>
        </w:tc>
      </w:tr>
      <w:tr w:rsidR="001012AF" w:rsidRPr="00707CE0" w14:paraId="36B04245" w14:textId="77777777" w:rsidTr="00A17557">
        <w:trPr>
          <w:trHeight w:val="170"/>
          <w:tblCellSpacing w:w="20" w:type="dxa"/>
        </w:trPr>
        <w:tc>
          <w:tcPr>
            <w:tcW w:w="1291" w:type="dxa"/>
            <w:shd w:val="clear" w:color="auto" w:fill="auto"/>
            <w:vAlign w:val="center"/>
            <w:hideMark/>
          </w:tcPr>
          <w:p w14:paraId="148CBC31" w14:textId="77777777" w:rsidR="001012AF" w:rsidRPr="00707CE0" w:rsidRDefault="001012AF" w:rsidP="00A17557">
            <w:pPr>
              <w:ind w:firstLineChars="3" w:firstLine="7"/>
              <w:rPr>
                <w:color w:val="000000"/>
                <w:sz w:val="22"/>
                <w:szCs w:val="22"/>
              </w:rPr>
            </w:pPr>
            <w:r w:rsidRPr="00707CE0">
              <w:rPr>
                <w:color w:val="000000"/>
                <w:sz w:val="22"/>
                <w:szCs w:val="22"/>
              </w:rPr>
              <w:t>200.5.2</w:t>
            </w:r>
          </w:p>
        </w:tc>
        <w:tc>
          <w:tcPr>
            <w:tcW w:w="7398" w:type="dxa"/>
            <w:shd w:val="clear" w:color="auto" w:fill="auto"/>
            <w:vAlign w:val="center"/>
            <w:hideMark/>
          </w:tcPr>
          <w:p w14:paraId="761C54E0" w14:textId="77777777" w:rsidR="001012AF" w:rsidRPr="00707CE0" w:rsidRDefault="001012AF" w:rsidP="00A17557">
            <w:pPr>
              <w:rPr>
                <w:color w:val="000000"/>
                <w:sz w:val="22"/>
                <w:szCs w:val="22"/>
              </w:rPr>
            </w:pPr>
            <w:r w:rsidRPr="00707CE0">
              <w:rPr>
                <w:color w:val="000000"/>
                <w:sz w:val="22"/>
                <w:szCs w:val="22"/>
              </w:rPr>
              <w:t>переоценка ценных бумаг, справедливая стоимость которых определяется иначе, чем средневзвешенная цена, раскрываемая организатором торговли на рынке ценных бумаг</w:t>
            </w:r>
          </w:p>
        </w:tc>
        <w:tc>
          <w:tcPr>
            <w:tcW w:w="1641" w:type="dxa"/>
            <w:shd w:val="clear" w:color="auto" w:fill="auto"/>
            <w:noWrap/>
            <w:vAlign w:val="center"/>
            <w:hideMark/>
          </w:tcPr>
          <w:p w14:paraId="37F1149B" w14:textId="77777777" w:rsidR="001012AF" w:rsidRPr="00707CE0" w:rsidRDefault="001012AF" w:rsidP="00A17557">
            <w:pPr>
              <w:ind w:firstLineChars="100" w:firstLine="220"/>
              <w:jc w:val="right"/>
              <w:rPr>
                <w:color w:val="000000"/>
                <w:sz w:val="22"/>
                <w:szCs w:val="22"/>
              </w:rPr>
            </w:pPr>
            <w:r w:rsidRPr="00707CE0">
              <w:rPr>
                <w:color w:val="000000"/>
                <w:sz w:val="22"/>
                <w:szCs w:val="22"/>
              </w:rPr>
              <w:t>-106 147</w:t>
            </w:r>
          </w:p>
        </w:tc>
      </w:tr>
      <w:tr w:rsidR="001012AF" w:rsidRPr="00707CE0" w14:paraId="520DE7F9" w14:textId="77777777" w:rsidTr="00A17557">
        <w:trPr>
          <w:trHeight w:val="170"/>
          <w:tblCellSpacing w:w="20" w:type="dxa"/>
        </w:trPr>
        <w:tc>
          <w:tcPr>
            <w:tcW w:w="1291" w:type="dxa"/>
            <w:shd w:val="clear" w:color="auto" w:fill="auto"/>
            <w:vAlign w:val="center"/>
            <w:hideMark/>
          </w:tcPr>
          <w:p w14:paraId="22EB213E" w14:textId="77777777" w:rsidR="001012AF" w:rsidRPr="00707CE0" w:rsidRDefault="001012AF" w:rsidP="00A17557">
            <w:pPr>
              <w:ind w:firstLineChars="3" w:firstLine="7"/>
              <w:rPr>
                <w:color w:val="000000"/>
                <w:sz w:val="22"/>
                <w:szCs w:val="22"/>
              </w:rPr>
            </w:pPr>
            <w:r w:rsidRPr="00707CE0">
              <w:rPr>
                <w:color w:val="000000"/>
                <w:sz w:val="22"/>
                <w:szCs w:val="22"/>
              </w:rPr>
              <w:t>200.8</w:t>
            </w:r>
          </w:p>
        </w:tc>
        <w:tc>
          <w:tcPr>
            <w:tcW w:w="7398" w:type="dxa"/>
            <w:shd w:val="clear" w:color="auto" w:fill="auto"/>
            <w:vAlign w:val="center"/>
            <w:hideMark/>
          </w:tcPr>
          <w:p w14:paraId="316708A3" w14:textId="77777777" w:rsidR="001012AF" w:rsidRPr="00707CE0" w:rsidRDefault="001012AF" w:rsidP="00A17557">
            <w:pPr>
              <w:rPr>
                <w:color w:val="000000"/>
                <w:sz w:val="22"/>
                <w:szCs w:val="22"/>
              </w:rPr>
            </w:pPr>
            <w:r w:rsidRPr="00707CE0">
              <w:rPr>
                <w:color w:val="000000"/>
                <w:sz w:val="22"/>
                <w:szCs w:val="22"/>
              </w:rPr>
              <w:t>Прирост стоимости основных средств кредитной организации за счет переоценки</w:t>
            </w:r>
          </w:p>
        </w:tc>
        <w:tc>
          <w:tcPr>
            <w:tcW w:w="1641" w:type="dxa"/>
            <w:shd w:val="clear" w:color="auto" w:fill="auto"/>
            <w:noWrap/>
            <w:vAlign w:val="center"/>
            <w:hideMark/>
          </w:tcPr>
          <w:p w14:paraId="58C32922" w14:textId="77777777" w:rsidR="001012AF" w:rsidRPr="00707CE0" w:rsidRDefault="001012AF" w:rsidP="00A17557">
            <w:pPr>
              <w:ind w:firstLineChars="100" w:firstLine="220"/>
              <w:jc w:val="right"/>
              <w:rPr>
                <w:color w:val="000000"/>
                <w:sz w:val="22"/>
                <w:szCs w:val="22"/>
              </w:rPr>
            </w:pPr>
            <w:r w:rsidRPr="00707CE0">
              <w:rPr>
                <w:color w:val="000000"/>
                <w:sz w:val="22"/>
                <w:szCs w:val="22"/>
              </w:rPr>
              <w:t>806 563</w:t>
            </w:r>
          </w:p>
        </w:tc>
      </w:tr>
      <w:tr w:rsidR="001012AF" w:rsidRPr="00707CE0" w14:paraId="1295074E" w14:textId="77777777" w:rsidTr="00A17557">
        <w:trPr>
          <w:trHeight w:val="170"/>
          <w:tblCellSpacing w:w="20" w:type="dxa"/>
        </w:trPr>
        <w:tc>
          <w:tcPr>
            <w:tcW w:w="1291" w:type="dxa"/>
            <w:shd w:val="clear" w:color="auto" w:fill="auto"/>
            <w:vAlign w:val="center"/>
            <w:hideMark/>
          </w:tcPr>
          <w:p w14:paraId="7A892780" w14:textId="77777777" w:rsidR="001012AF" w:rsidRPr="00707CE0" w:rsidRDefault="001012AF" w:rsidP="00A17557">
            <w:pPr>
              <w:ind w:firstLineChars="3" w:firstLine="7"/>
              <w:rPr>
                <w:color w:val="000000"/>
                <w:sz w:val="22"/>
                <w:szCs w:val="22"/>
              </w:rPr>
            </w:pPr>
            <w:r w:rsidRPr="00707CE0">
              <w:rPr>
                <w:color w:val="000000"/>
                <w:sz w:val="22"/>
                <w:szCs w:val="22"/>
              </w:rPr>
              <w:t>201.6</w:t>
            </w:r>
          </w:p>
        </w:tc>
        <w:tc>
          <w:tcPr>
            <w:tcW w:w="7398" w:type="dxa"/>
            <w:shd w:val="clear" w:color="auto" w:fill="auto"/>
            <w:vAlign w:val="center"/>
            <w:hideMark/>
          </w:tcPr>
          <w:p w14:paraId="7ABD56DA" w14:textId="77777777" w:rsidR="001012AF" w:rsidRPr="00707CE0" w:rsidRDefault="001012AF" w:rsidP="00A17557">
            <w:pPr>
              <w:rPr>
                <w:color w:val="000000"/>
                <w:sz w:val="22"/>
                <w:szCs w:val="22"/>
              </w:rPr>
            </w:pPr>
            <w:r w:rsidRPr="00707CE0">
              <w:rPr>
                <w:color w:val="000000"/>
                <w:sz w:val="22"/>
                <w:szCs w:val="22"/>
              </w:rPr>
              <w:t>Промежуточный итог</w:t>
            </w:r>
          </w:p>
        </w:tc>
        <w:tc>
          <w:tcPr>
            <w:tcW w:w="1641" w:type="dxa"/>
            <w:shd w:val="clear" w:color="auto" w:fill="auto"/>
            <w:noWrap/>
            <w:vAlign w:val="center"/>
            <w:hideMark/>
          </w:tcPr>
          <w:p w14:paraId="4CB9E50D" w14:textId="77777777" w:rsidR="001012AF" w:rsidRPr="00707CE0" w:rsidRDefault="001012AF" w:rsidP="00A17557">
            <w:pPr>
              <w:ind w:firstLineChars="100" w:firstLine="220"/>
              <w:jc w:val="right"/>
              <w:rPr>
                <w:color w:val="000000"/>
                <w:sz w:val="22"/>
                <w:szCs w:val="22"/>
              </w:rPr>
            </w:pPr>
            <w:r w:rsidRPr="00707CE0">
              <w:rPr>
                <w:color w:val="000000"/>
                <w:sz w:val="22"/>
                <w:szCs w:val="22"/>
              </w:rPr>
              <w:t>21 682 664</w:t>
            </w:r>
          </w:p>
        </w:tc>
      </w:tr>
      <w:tr w:rsidR="001012AF" w:rsidRPr="00707CE0" w14:paraId="15AC7F1A" w14:textId="77777777" w:rsidTr="00A17557">
        <w:trPr>
          <w:trHeight w:val="170"/>
          <w:tblCellSpacing w:w="20" w:type="dxa"/>
        </w:trPr>
        <w:tc>
          <w:tcPr>
            <w:tcW w:w="1291" w:type="dxa"/>
            <w:shd w:val="clear" w:color="auto" w:fill="auto"/>
            <w:vAlign w:val="center"/>
            <w:hideMark/>
          </w:tcPr>
          <w:p w14:paraId="7A45FE2B" w14:textId="77777777" w:rsidR="001012AF" w:rsidRPr="00707CE0" w:rsidRDefault="001012AF" w:rsidP="00A17557">
            <w:pPr>
              <w:ind w:firstLineChars="3" w:firstLine="7"/>
              <w:rPr>
                <w:color w:val="000000"/>
                <w:sz w:val="22"/>
                <w:szCs w:val="22"/>
              </w:rPr>
            </w:pPr>
            <w:r w:rsidRPr="00707CE0">
              <w:rPr>
                <w:color w:val="000000"/>
                <w:sz w:val="22"/>
                <w:szCs w:val="22"/>
              </w:rPr>
              <w:t>203</w:t>
            </w:r>
          </w:p>
        </w:tc>
        <w:tc>
          <w:tcPr>
            <w:tcW w:w="7398" w:type="dxa"/>
            <w:shd w:val="clear" w:color="auto" w:fill="auto"/>
            <w:vAlign w:val="center"/>
            <w:hideMark/>
          </w:tcPr>
          <w:p w14:paraId="6A34B8B8" w14:textId="77777777" w:rsidR="001012AF" w:rsidRPr="00707CE0" w:rsidRDefault="001012AF" w:rsidP="00A17557">
            <w:pPr>
              <w:rPr>
                <w:color w:val="000000"/>
                <w:sz w:val="22"/>
                <w:szCs w:val="22"/>
              </w:rPr>
            </w:pPr>
            <w:r w:rsidRPr="00707CE0">
              <w:rPr>
                <w:color w:val="000000"/>
                <w:sz w:val="22"/>
                <w:szCs w:val="22"/>
              </w:rPr>
              <w:t>Дополнительный капитал, итого</w:t>
            </w:r>
          </w:p>
        </w:tc>
        <w:tc>
          <w:tcPr>
            <w:tcW w:w="1641" w:type="dxa"/>
            <w:shd w:val="clear" w:color="auto" w:fill="auto"/>
            <w:noWrap/>
            <w:vAlign w:val="center"/>
            <w:hideMark/>
          </w:tcPr>
          <w:p w14:paraId="039F69DA" w14:textId="77777777" w:rsidR="001012AF" w:rsidRPr="00707CE0" w:rsidRDefault="001012AF" w:rsidP="00A17557">
            <w:pPr>
              <w:ind w:firstLineChars="100" w:firstLine="220"/>
              <w:jc w:val="right"/>
              <w:rPr>
                <w:color w:val="000000"/>
                <w:sz w:val="22"/>
                <w:szCs w:val="22"/>
              </w:rPr>
            </w:pPr>
            <w:r w:rsidRPr="00707CE0">
              <w:rPr>
                <w:color w:val="000000"/>
                <w:sz w:val="22"/>
                <w:szCs w:val="22"/>
              </w:rPr>
              <w:t>1 934 344</w:t>
            </w:r>
          </w:p>
        </w:tc>
      </w:tr>
    </w:tbl>
    <w:p w14:paraId="2AAD0C58" w14:textId="6B593542" w:rsidR="0004162F" w:rsidRDefault="0004162F" w:rsidP="0004162F">
      <w:pPr>
        <w:widowControl w:val="0"/>
        <w:ind w:firstLine="709"/>
        <w:jc w:val="both"/>
        <w:rPr>
          <w:sz w:val="28"/>
          <w:szCs w:val="28"/>
          <w:lang w:val="en-US"/>
        </w:rPr>
      </w:pPr>
      <w:r>
        <w:rPr>
          <w:sz w:val="28"/>
          <w:szCs w:val="28"/>
        </w:rPr>
        <w:t>Решение</w:t>
      </w:r>
      <w:r>
        <w:rPr>
          <w:sz w:val="28"/>
          <w:szCs w:val="28"/>
          <w:lang w:val="en-US"/>
        </w:rPr>
        <w:t>:</w:t>
      </w:r>
    </w:p>
    <w:p w14:paraId="5E86E608" w14:textId="77777777" w:rsidR="00E64BC6" w:rsidRPr="00E64BC6" w:rsidRDefault="00E64BC6" w:rsidP="00E64BC6">
      <w:pPr>
        <w:widowControl w:val="0"/>
        <w:ind w:firstLine="709"/>
        <w:jc w:val="both"/>
        <w:rPr>
          <w:sz w:val="28"/>
          <w:szCs w:val="28"/>
        </w:rPr>
      </w:pPr>
      <w:r w:rsidRPr="00E64BC6">
        <w:rPr>
          <w:sz w:val="28"/>
          <w:szCs w:val="28"/>
        </w:rPr>
        <w:t xml:space="preserve">Данный отчет отражает данные формы 0409123 "Расчет собственных средств (капитала) (Базель </w:t>
      </w:r>
      <w:r w:rsidRPr="00E64BC6">
        <w:rPr>
          <w:sz w:val="28"/>
          <w:szCs w:val="28"/>
          <w:lang w:val="en-US"/>
        </w:rPr>
        <w:t>III</w:t>
      </w:r>
      <w:r w:rsidRPr="00E64BC6">
        <w:rPr>
          <w:sz w:val="28"/>
          <w:szCs w:val="28"/>
        </w:rPr>
        <w:t>)" в наиболее удобном для изучения формате.</w:t>
      </w:r>
    </w:p>
    <w:p w14:paraId="7833A8AE" w14:textId="77777777" w:rsidR="00E64BC6" w:rsidRPr="00E64BC6" w:rsidRDefault="00E64BC6" w:rsidP="00E64BC6">
      <w:pPr>
        <w:widowControl w:val="0"/>
        <w:ind w:firstLine="709"/>
        <w:jc w:val="both"/>
        <w:rPr>
          <w:sz w:val="28"/>
          <w:szCs w:val="28"/>
        </w:rPr>
      </w:pPr>
      <w:r w:rsidRPr="00E64BC6">
        <w:rPr>
          <w:sz w:val="28"/>
          <w:szCs w:val="28"/>
        </w:rPr>
        <w:t>Отчет содержит только строки, релевантные для конкретной кредитной организации в течение анализируемого периода.</w:t>
      </w:r>
    </w:p>
    <w:p w14:paraId="585D210F" w14:textId="5F092C27" w:rsidR="00E64BC6" w:rsidRDefault="00E64BC6" w:rsidP="00E64BC6">
      <w:pPr>
        <w:widowControl w:val="0"/>
        <w:ind w:firstLine="709"/>
        <w:jc w:val="both"/>
        <w:rPr>
          <w:sz w:val="28"/>
          <w:szCs w:val="28"/>
        </w:rPr>
      </w:pPr>
      <w:r w:rsidRPr="00E64BC6">
        <w:rPr>
          <w:sz w:val="28"/>
          <w:szCs w:val="28"/>
        </w:rPr>
        <w:t>Иными словами, в каждом отчете представлены только те строки, по которым есть ненулевые значения хотя бы на одну из выбранных отчетных дат.</w:t>
      </w:r>
    </w:p>
    <w:p w14:paraId="7DEFC289" w14:textId="5797C135" w:rsidR="00C719F5" w:rsidRDefault="00C719F5" w:rsidP="00E64BC6">
      <w:pPr>
        <w:widowControl w:val="0"/>
        <w:ind w:firstLine="709"/>
        <w:jc w:val="both"/>
        <w:rPr>
          <w:sz w:val="28"/>
          <w:szCs w:val="28"/>
        </w:rPr>
      </w:pPr>
      <w:r>
        <w:rPr>
          <w:sz w:val="28"/>
          <w:szCs w:val="28"/>
        </w:rPr>
        <w:t>Данный отчет более объемный и его нужно привести к виду</w:t>
      </w:r>
      <w:r w:rsidRPr="00C719F5">
        <w:rPr>
          <w:sz w:val="28"/>
          <w:szCs w:val="28"/>
        </w:rPr>
        <w:t>:</w:t>
      </w:r>
    </w:p>
    <w:p w14:paraId="4F38C2C8" w14:textId="77777777" w:rsidR="00C719F5" w:rsidRPr="00C719F5" w:rsidRDefault="00C719F5" w:rsidP="00C719F5">
      <w:pPr>
        <w:jc w:val="center"/>
      </w:pPr>
      <w:r w:rsidRPr="00C719F5">
        <w:t>Единицы измерения: Тысячи руб.</w:t>
      </w:r>
    </w:p>
    <w:tbl>
      <w:tblPr>
        <w:tblStyle w:val="ab"/>
        <w:tblW w:w="0" w:type="auto"/>
        <w:tblLook w:val="04A0" w:firstRow="1" w:lastRow="0" w:firstColumn="1" w:lastColumn="0" w:noHBand="0" w:noVBand="1"/>
      </w:tblPr>
      <w:tblGrid>
        <w:gridCol w:w="8366"/>
        <w:gridCol w:w="979"/>
      </w:tblGrid>
      <w:tr w:rsidR="00C719F5" w:rsidRPr="00C719F5" w14:paraId="2B01F5B3" w14:textId="77777777" w:rsidTr="00C719F5">
        <w:tc>
          <w:tcPr>
            <w:tcW w:w="0" w:type="auto"/>
            <w:hideMark/>
          </w:tcPr>
          <w:p w14:paraId="4F954C6B" w14:textId="77777777" w:rsidR="00C719F5" w:rsidRPr="00C719F5" w:rsidRDefault="00C719F5" w:rsidP="00C719F5"/>
        </w:tc>
        <w:tc>
          <w:tcPr>
            <w:tcW w:w="0" w:type="auto"/>
            <w:noWrap/>
            <w:hideMark/>
          </w:tcPr>
          <w:p w14:paraId="2DA195F0" w14:textId="2FF1ACCB" w:rsidR="00C719F5" w:rsidRPr="00C719F5" w:rsidRDefault="00C719F5" w:rsidP="00C719F5">
            <w:pPr>
              <w:spacing w:before="150"/>
              <w:jc w:val="center"/>
              <w:rPr>
                <w:b/>
                <w:bCs/>
              </w:rPr>
            </w:pPr>
            <w:r w:rsidRPr="00C719F5">
              <w:rPr>
                <w:b/>
                <w:bCs/>
              </w:rPr>
              <w:t>Дата</w:t>
            </w:r>
          </w:p>
        </w:tc>
      </w:tr>
      <w:tr w:rsidR="00C719F5" w:rsidRPr="00C719F5" w14:paraId="23ACC7AD" w14:textId="77777777" w:rsidTr="00C719F5">
        <w:tc>
          <w:tcPr>
            <w:tcW w:w="0" w:type="auto"/>
            <w:hideMark/>
          </w:tcPr>
          <w:p w14:paraId="053BA1E2" w14:textId="77777777" w:rsidR="00C719F5" w:rsidRPr="00C719F5" w:rsidRDefault="00C719F5" w:rsidP="00C719F5">
            <w:pPr>
              <w:spacing w:before="150"/>
            </w:pPr>
            <w:r w:rsidRPr="00C719F5">
              <w:t>Собственные средства (капитал), итого, в том числе:</w:t>
            </w:r>
          </w:p>
        </w:tc>
        <w:tc>
          <w:tcPr>
            <w:tcW w:w="0" w:type="auto"/>
            <w:hideMark/>
          </w:tcPr>
          <w:p w14:paraId="5BBE0403" w14:textId="77777777" w:rsidR="00C719F5" w:rsidRPr="00C719F5" w:rsidRDefault="00C719F5" w:rsidP="00C719F5">
            <w:pPr>
              <w:spacing w:before="150"/>
              <w:jc w:val="right"/>
            </w:pPr>
            <w:r w:rsidRPr="00C719F5">
              <w:t>20 860 505</w:t>
            </w:r>
          </w:p>
        </w:tc>
      </w:tr>
      <w:tr w:rsidR="00C719F5" w:rsidRPr="00C719F5" w14:paraId="5445227F" w14:textId="77777777" w:rsidTr="00C719F5">
        <w:tc>
          <w:tcPr>
            <w:tcW w:w="0" w:type="auto"/>
            <w:hideMark/>
          </w:tcPr>
          <w:p w14:paraId="3674F07F" w14:textId="77777777" w:rsidR="00C719F5" w:rsidRPr="00C719F5" w:rsidRDefault="00C719F5" w:rsidP="00C719F5">
            <w:pPr>
              <w:spacing w:before="150"/>
            </w:pPr>
            <w:r w:rsidRPr="00C719F5">
              <w:t>Источники базового капитала:</w:t>
            </w:r>
          </w:p>
        </w:tc>
        <w:tc>
          <w:tcPr>
            <w:tcW w:w="0" w:type="auto"/>
            <w:hideMark/>
          </w:tcPr>
          <w:p w14:paraId="3F3AF7E7" w14:textId="77777777" w:rsidR="00C719F5" w:rsidRPr="00C719F5" w:rsidRDefault="00C719F5" w:rsidP="00C719F5">
            <w:pPr>
              <w:spacing w:before="150"/>
              <w:jc w:val="right"/>
            </w:pPr>
            <w:r w:rsidRPr="00C719F5">
              <w:t>18 774 793</w:t>
            </w:r>
          </w:p>
        </w:tc>
      </w:tr>
      <w:tr w:rsidR="00C719F5" w:rsidRPr="00C719F5" w14:paraId="2D64CD64" w14:textId="77777777" w:rsidTr="00C719F5">
        <w:tc>
          <w:tcPr>
            <w:tcW w:w="0" w:type="auto"/>
            <w:hideMark/>
          </w:tcPr>
          <w:p w14:paraId="7B494A35" w14:textId="77777777" w:rsidR="00C719F5" w:rsidRPr="00C719F5" w:rsidRDefault="00C719F5" w:rsidP="00C719F5">
            <w:pPr>
              <w:spacing w:before="150"/>
            </w:pPr>
            <w:r w:rsidRPr="00C719F5">
              <w:t>Уставный капитал кредитной организации:</w:t>
            </w:r>
          </w:p>
        </w:tc>
        <w:tc>
          <w:tcPr>
            <w:tcW w:w="0" w:type="auto"/>
            <w:hideMark/>
          </w:tcPr>
          <w:p w14:paraId="45B0DEEC" w14:textId="77777777" w:rsidR="00C719F5" w:rsidRPr="00C719F5" w:rsidRDefault="00C719F5" w:rsidP="00C719F5">
            <w:pPr>
              <w:spacing w:before="150"/>
              <w:jc w:val="right"/>
            </w:pPr>
            <w:r w:rsidRPr="00C719F5">
              <w:t>807 000</w:t>
            </w:r>
          </w:p>
        </w:tc>
      </w:tr>
      <w:tr w:rsidR="00C719F5" w:rsidRPr="00C719F5" w14:paraId="4205BBAD" w14:textId="77777777" w:rsidTr="00C719F5">
        <w:tc>
          <w:tcPr>
            <w:tcW w:w="0" w:type="auto"/>
            <w:hideMark/>
          </w:tcPr>
          <w:p w14:paraId="0F283E03" w14:textId="77777777" w:rsidR="00C719F5" w:rsidRPr="00C719F5" w:rsidRDefault="00C719F5" w:rsidP="00C719F5">
            <w:pPr>
              <w:spacing w:before="150"/>
            </w:pPr>
            <w:r w:rsidRPr="00C719F5">
              <w:t>сформированный обыкновенными акциями</w:t>
            </w:r>
          </w:p>
        </w:tc>
        <w:tc>
          <w:tcPr>
            <w:tcW w:w="0" w:type="auto"/>
            <w:hideMark/>
          </w:tcPr>
          <w:p w14:paraId="15DFB3E9" w14:textId="77777777" w:rsidR="00C719F5" w:rsidRPr="00C719F5" w:rsidRDefault="00C719F5" w:rsidP="00C719F5">
            <w:pPr>
              <w:spacing w:before="150"/>
              <w:jc w:val="right"/>
            </w:pPr>
            <w:r w:rsidRPr="00C719F5">
              <w:t>807 000</w:t>
            </w:r>
          </w:p>
        </w:tc>
      </w:tr>
      <w:tr w:rsidR="00C719F5" w:rsidRPr="00C719F5" w14:paraId="7690FA63" w14:textId="77777777" w:rsidTr="00C719F5">
        <w:tc>
          <w:tcPr>
            <w:tcW w:w="0" w:type="auto"/>
            <w:hideMark/>
          </w:tcPr>
          <w:p w14:paraId="70FDA101" w14:textId="77777777" w:rsidR="00C719F5" w:rsidRPr="00C719F5" w:rsidRDefault="00C719F5" w:rsidP="00C719F5">
            <w:pPr>
              <w:spacing w:before="150"/>
            </w:pPr>
            <w:r w:rsidRPr="00C719F5">
              <w:t>Эмиссионный доход:</w:t>
            </w:r>
          </w:p>
        </w:tc>
        <w:tc>
          <w:tcPr>
            <w:tcW w:w="0" w:type="auto"/>
            <w:hideMark/>
          </w:tcPr>
          <w:p w14:paraId="4D16964E" w14:textId="77777777" w:rsidR="00C719F5" w:rsidRPr="00C719F5" w:rsidRDefault="00C719F5" w:rsidP="00C719F5">
            <w:pPr>
              <w:spacing w:before="150"/>
              <w:jc w:val="right"/>
            </w:pPr>
            <w:r w:rsidRPr="00C719F5">
              <w:t>4 193 400</w:t>
            </w:r>
          </w:p>
        </w:tc>
      </w:tr>
      <w:tr w:rsidR="00C719F5" w:rsidRPr="00C719F5" w14:paraId="6FA8A6E9" w14:textId="77777777" w:rsidTr="00C719F5">
        <w:tc>
          <w:tcPr>
            <w:tcW w:w="0" w:type="auto"/>
            <w:hideMark/>
          </w:tcPr>
          <w:p w14:paraId="32E28FD1" w14:textId="77777777" w:rsidR="00C719F5" w:rsidRPr="00C719F5" w:rsidRDefault="00C719F5" w:rsidP="00C719F5">
            <w:pPr>
              <w:spacing w:before="150"/>
            </w:pPr>
            <w:r w:rsidRPr="00C719F5">
              <w:t>кредитной организации в организационно-правовой форме акционерного общества, всего, в том числе:</w:t>
            </w:r>
          </w:p>
        </w:tc>
        <w:tc>
          <w:tcPr>
            <w:tcW w:w="0" w:type="auto"/>
            <w:hideMark/>
          </w:tcPr>
          <w:p w14:paraId="38B41579" w14:textId="77777777" w:rsidR="00C719F5" w:rsidRPr="00C719F5" w:rsidRDefault="00C719F5" w:rsidP="00C719F5">
            <w:pPr>
              <w:spacing w:before="150"/>
              <w:jc w:val="right"/>
            </w:pPr>
            <w:r w:rsidRPr="00C719F5">
              <w:t>4 193 400</w:t>
            </w:r>
          </w:p>
        </w:tc>
      </w:tr>
      <w:tr w:rsidR="00C719F5" w:rsidRPr="00C719F5" w14:paraId="485CD6D4" w14:textId="77777777" w:rsidTr="00C719F5">
        <w:tc>
          <w:tcPr>
            <w:tcW w:w="0" w:type="auto"/>
            <w:hideMark/>
          </w:tcPr>
          <w:p w14:paraId="34181E53" w14:textId="77777777" w:rsidR="00C719F5" w:rsidRPr="00C719F5" w:rsidRDefault="00C719F5" w:rsidP="00C719F5">
            <w:pPr>
              <w:spacing w:before="150"/>
            </w:pPr>
            <w:r w:rsidRPr="00C719F5">
              <w:t>сформированный при размещении обыкновенных акций</w:t>
            </w:r>
          </w:p>
        </w:tc>
        <w:tc>
          <w:tcPr>
            <w:tcW w:w="0" w:type="auto"/>
            <w:hideMark/>
          </w:tcPr>
          <w:p w14:paraId="1C501C5D" w14:textId="77777777" w:rsidR="00C719F5" w:rsidRPr="00C719F5" w:rsidRDefault="00C719F5" w:rsidP="00C719F5">
            <w:pPr>
              <w:spacing w:before="150"/>
              <w:jc w:val="right"/>
            </w:pPr>
            <w:r w:rsidRPr="00C719F5">
              <w:t>4 193 400</w:t>
            </w:r>
          </w:p>
        </w:tc>
      </w:tr>
      <w:tr w:rsidR="00C719F5" w:rsidRPr="00C719F5" w14:paraId="073E4464" w14:textId="77777777" w:rsidTr="00C719F5">
        <w:tc>
          <w:tcPr>
            <w:tcW w:w="0" w:type="auto"/>
            <w:hideMark/>
          </w:tcPr>
          <w:p w14:paraId="2CAA61F4" w14:textId="77777777" w:rsidR="00C719F5" w:rsidRPr="00C719F5" w:rsidRDefault="00C719F5" w:rsidP="00C719F5">
            <w:pPr>
              <w:spacing w:before="150"/>
            </w:pPr>
            <w:r w:rsidRPr="00C719F5">
              <w:t>Часть резервного фонда кредитной организации, сформированная за счет прибыли предшествующих лет</w:t>
            </w:r>
          </w:p>
        </w:tc>
        <w:tc>
          <w:tcPr>
            <w:tcW w:w="0" w:type="auto"/>
            <w:hideMark/>
          </w:tcPr>
          <w:p w14:paraId="1F7C8670" w14:textId="77777777" w:rsidR="00C719F5" w:rsidRPr="00C719F5" w:rsidRDefault="00C719F5" w:rsidP="00C719F5">
            <w:pPr>
              <w:spacing w:before="150"/>
              <w:jc w:val="right"/>
            </w:pPr>
            <w:r w:rsidRPr="00C719F5">
              <w:t>121 050</w:t>
            </w:r>
          </w:p>
        </w:tc>
      </w:tr>
      <w:tr w:rsidR="00C719F5" w:rsidRPr="00C719F5" w14:paraId="46488577" w14:textId="77777777" w:rsidTr="00C719F5">
        <w:tc>
          <w:tcPr>
            <w:tcW w:w="0" w:type="auto"/>
            <w:hideMark/>
          </w:tcPr>
          <w:p w14:paraId="7AD271AA" w14:textId="77777777" w:rsidR="00C719F5" w:rsidRPr="00C719F5" w:rsidRDefault="00C719F5" w:rsidP="00C719F5">
            <w:pPr>
              <w:spacing w:before="150"/>
            </w:pPr>
            <w:r w:rsidRPr="00C719F5">
              <w:t>Прибыль предшествующих лет, данные о которой подтверждены аудиторской организацией, всего, в том числе:</w:t>
            </w:r>
          </w:p>
        </w:tc>
        <w:tc>
          <w:tcPr>
            <w:tcW w:w="0" w:type="auto"/>
            <w:hideMark/>
          </w:tcPr>
          <w:p w14:paraId="765F6F94" w14:textId="77777777" w:rsidR="00C719F5" w:rsidRPr="00C719F5" w:rsidRDefault="00C719F5" w:rsidP="00C719F5">
            <w:pPr>
              <w:spacing w:before="150"/>
              <w:jc w:val="right"/>
            </w:pPr>
            <w:r w:rsidRPr="00C719F5">
              <w:t>13 653 343</w:t>
            </w:r>
          </w:p>
        </w:tc>
      </w:tr>
      <w:tr w:rsidR="00C719F5" w:rsidRPr="00C719F5" w14:paraId="7AEAB67F" w14:textId="77777777" w:rsidTr="00C719F5">
        <w:tc>
          <w:tcPr>
            <w:tcW w:w="0" w:type="auto"/>
            <w:hideMark/>
          </w:tcPr>
          <w:p w14:paraId="6734F414" w14:textId="77777777" w:rsidR="00C719F5" w:rsidRPr="00C719F5" w:rsidRDefault="00C719F5" w:rsidP="00C719F5">
            <w:pPr>
              <w:spacing w:before="150"/>
            </w:pPr>
            <w:r w:rsidRPr="00C719F5">
              <w:t>Показатели, уменьшающие сумму источников базового капитала:</w:t>
            </w:r>
          </w:p>
        </w:tc>
        <w:tc>
          <w:tcPr>
            <w:tcW w:w="0" w:type="auto"/>
            <w:hideMark/>
          </w:tcPr>
          <w:p w14:paraId="758498E6" w14:textId="77777777" w:rsidR="00C719F5" w:rsidRPr="00C719F5" w:rsidRDefault="00C719F5" w:rsidP="00C719F5">
            <w:pPr>
              <w:spacing w:before="150"/>
              <w:jc w:val="right"/>
            </w:pPr>
            <w:r w:rsidRPr="00C719F5">
              <w:t>36 747</w:t>
            </w:r>
          </w:p>
        </w:tc>
      </w:tr>
      <w:tr w:rsidR="00C719F5" w:rsidRPr="00C719F5" w14:paraId="2215B667" w14:textId="77777777" w:rsidTr="00C719F5">
        <w:tc>
          <w:tcPr>
            <w:tcW w:w="0" w:type="auto"/>
            <w:hideMark/>
          </w:tcPr>
          <w:p w14:paraId="19682B96" w14:textId="77777777" w:rsidR="00C719F5" w:rsidRPr="00C719F5" w:rsidRDefault="00C719F5" w:rsidP="00C719F5">
            <w:pPr>
              <w:spacing w:before="150"/>
            </w:pPr>
            <w:r w:rsidRPr="00C719F5">
              <w:t>Нематериальные активы</w:t>
            </w:r>
          </w:p>
        </w:tc>
        <w:tc>
          <w:tcPr>
            <w:tcW w:w="0" w:type="auto"/>
            <w:hideMark/>
          </w:tcPr>
          <w:p w14:paraId="4C5CE04D" w14:textId="77777777" w:rsidR="00C719F5" w:rsidRPr="00C719F5" w:rsidRDefault="00C719F5" w:rsidP="00C719F5">
            <w:pPr>
              <w:spacing w:before="150"/>
              <w:jc w:val="right"/>
            </w:pPr>
            <w:r w:rsidRPr="00C719F5">
              <w:t>36 747</w:t>
            </w:r>
          </w:p>
        </w:tc>
      </w:tr>
      <w:tr w:rsidR="00C719F5" w:rsidRPr="00C719F5" w14:paraId="57A87A5E" w14:textId="77777777" w:rsidTr="00C719F5">
        <w:tc>
          <w:tcPr>
            <w:tcW w:w="0" w:type="auto"/>
            <w:hideMark/>
          </w:tcPr>
          <w:p w14:paraId="36034B62" w14:textId="77777777" w:rsidR="00C719F5" w:rsidRPr="00C719F5" w:rsidRDefault="00C719F5" w:rsidP="00C719F5">
            <w:pPr>
              <w:spacing w:before="150"/>
            </w:pPr>
            <w:r w:rsidRPr="00C719F5">
              <w:t>Базовый капитал, итого</w:t>
            </w:r>
          </w:p>
        </w:tc>
        <w:tc>
          <w:tcPr>
            <w:tcW w:w="0" w:type="auto"/>
            <w:hideMark/>
          </w:tcPr>
          <w:p w14:paraId="376FD0C2" w14:textId="77777777" w:rsidR="00C719F5" w:rsidRPr="00C719F5" w:rsidRDefault="00C719F5" w:rsidP="00C719F5">
            <w:pPr>
              <w:spacing w:before="150"/>
              <w:jc w:val="right"/>
            </w:pPr>
            <w:r w:rsidRPr="00C719F5">
              <w:t>18 738 046</w:t>
            </w:r>
          </w:p>
        </w:tc>
      </w:tr>
      <w:tr w:rsidR="00C719F5" w:rsidRPr="00C719F5" w14:paraId="1A99CBFD" w14:textId="77777777" w:rsidTr="00C719F5">
        <w:tc>
          <w:tcPr>
            <w:tcW w:w="0" w:type="auto"/>
            <w:hideMark/>
          </w:tcPr>
          <w:p w14:paraId="756B4475" w14:textId="77777777" w:rsidR="00C719F5" w:rsidRPr="00C719F5" w:rsidRDefault="00C719F5" w:rsidP="00C719F5">
            <w:pPr>
              <w:spacing w:before="150"/>
            </w:pPr>
            <w:r w:rsidRPr="00C719F5">
              <w:lastRenderedPageBreak/>
              <w:t>Основной капитал, итого</w:t>
            </w:r>
          </w:p>
        </w:tc>
        <w:tc>
          <w:tcPr>
            <w:tcW w:w="0" w:type="auto"/>
            <w:hideMark/>
          </w:tcPr>
          <w:p w14:paraId="2F2E3451" w14:textId="77777777" w:rsidR="00C719F5" w:rsidRPr="00C719F5" w:rsidRDefault="00C719F5" w:rsidP="00C719F5">
            <w:pPr>
              <w:spacing w:before="150"/>
              <w:jc w:val="right"/>
            </w:pPr>
            <w:r w:rsidRPr="00C719F5">
              <w:t>18 738 046</w:t>
            </w:r>
          </w:p>
        </w:tc>
      </w:tr>
      <w:tr w:rsidR="00C719F5" w:rsidRPr="00C719F5" w14:paraId="458EC858" w14:textId="77777777" w:rsidTr="00C719F5">
        <w:tc>
          <w:tcPr>
            <w:tcW w:w="0" w:type="auto"/>
            <w:hideMark/>
          </w:tcPr>
          <w:p w14:paraId="1933641B" w14:textId="77777777" w:rsidR="00C719F5" w:rsidRPr="00C719F5" w:rsidRDefault="00C719F5" w:rsidP="00C719F5">
            <w:pPr>
              <w:spacing w:before="150"/>
            </w:pPr>
            <w:r w:rsidRPr="00C719F5">
              <w:t>Источники дополнительного капитала:</w:t>
            </w:r>
          </w:p>
        </w:tc>
        <w:tc>
          <w:tcPr>
            <w:tcW w:w="0" w:type="auto"/>
            <w:hideMark/>
          </w:tcPr>
          <w:p w14:paraId="63942650" w14:textId="77777777" w:rsidR="00C719F5" w:rsidRPr="00C719F5" w:rsidRDefault="00C719F5" w:rsidP="00C719F5">
            <w:pPr>
              <w:spacing w:before="150"/>
              <w:jc w:val="right"/>
            </w:pPr>
            <w:r w:rsidRPr="00C719F5">
              <w:t>2 122 459</w:t>
            </w:r>
          </w:p>
        </w:tc>
      </w:tr>
      <w:tr w:rsidR="00C719F5" w:rsidRPr="00C719F5" w14:paraId="79301C04" w14:textId="77777777" w:rsidTr="00C719F5">
        <w:tc>
          <w:tcPr>
            <w:tcW w:w="0" w:type="auto"/>
            <w:hideMark/>
          </w:tcPr>
          <w:p w14:paraId="11A8A66C" w14:textId="77777777" w:rsidR="00C719F5" w:rsidRPr="00C719F5" w:rsidRDefault="00C719F5" w:rsidP="00C719F5">
            <w:pPr>
              <w:spacing w:before="150"/>
            </w:pPr>
            <w:r w:rsidRPr="00C719F5">
              <w:t>Прибыль текущего года (ее часть), не подтвержденная аудиторской организацией, всего, в том числе:</w:t>
            </w:r>
          </w:p>
        </w:tc>
        <w:tc>
          <w:tcPr>
            <w:tcW w:w="0" w:type="auto"/>
            <w:hideMark/>
          </w:tcPr>
          <w:p w14:paraId="0E053788" w14:textId="77777777" w:rsidR="00C719F5" w:rsidRPr="00C719F5" w:rsidRDefault="00C719F5" w:rsidP="00C719F5">
            <w:pPr>
              <w:spacing w:before="150"/>
              <w:jc w:val="right"/>
            </w:pPr>
            <w:r w:rsidRPr="00C719F5">
              <w:t>1 000 551</w:t>
            </w:r>
          </w:p>
        </w:tc>
      </w:tr>
      <w:tr w:rsidR="00C719F5" w:rsidRPr="00C719F5" w14:paraId="0616DBDE" w14:textId="77777777" w:rsidTr="00C719F5">
        <w:tc>
          <w:tcPr>
            <w:tcW w:w="0" w:type="auto"/>
            <w:hideMark/>
          </w:tcPr>
          <w:p w14:paraId="45AFCDD3" w14:textId="77777777" w:rsidR="00C719F5" w:rsidRPr="00C719F5" w:rsidRDefault="00C719F5" w:rsidP="00C719F5">
            <w:pPr>
              <w:spacing w:before="150"/>
            </w:pPr>
            <w:r w:rsidRPr="00C719F5">
              <w:t>Прирост стоимости имущества кредитной организации за счет переоценки</w:t>
            </w:r>
          </w:p>
        </w:tc>
        <w:tc>
          <w:tcPr>
            <w:tcW w:w="0" w:type="auto"/>
            <w:hideMark/>
          </w:tcPr>
          <w:p w14:paraId="0477E19C" w14:textId="77777777" w:rsidR="00C719F5" w:rsidRPr="00C719F5" w:rsidRDefault="00C719F5" w:rsidP="00C719F5">
            <w:pPr>
              <w:spacing w:before="150"/>
              <w:jc w:val="right"/>
            </w:pPr>
            <w:r w:rsidRPr="00C719F5">
              <w:t>1 121 908</w:t>
            </w:r>
          </w:p>
        </w:tc>
      </w:tr>
      <w:tr w:rsidR="00C719F5" w:rsidRPr="00C719F5" w14:paraId="49F7CE56" w14:textId="77777777" w:rsidTr="00C719F5">
        <w:tc>
          <w:tcPr>
            <w:tcW w:w="0" w:type="auto"/>
            <w:hideMark/>
          </w:tcPr>
          <w:p w14:paraId="35FD7DFC" w14:textId="77777777" w:rsidR="00C719F5" w:rsidRPr="00C719F5" w:rsidRDefault="00C719F5" w:rsidP="00C719F5">
            <w:pPr>
              <w:spacing w:before="150"/>
            </w:pPr>
            <w:r w:rsidRPr="00C719F5">
              <w:t>Показатели, определенные в соответствии с пунктами 3, 4 и 5 приложения к Положению Банка России N 395-П, всего, в том числе:</w:t>
            </w:r>
          </w:p>
        </w:tc>
        <w:tc>
          <w:tcPr>
            <w:tcW w:w="0" w:type="auto"/>
            <w:hideMark/>
          </w:tcPr>
          <w:p w14:paraId="58D6F813" w14:textId="77777777" w:rsidR="00C719F5" w:rsidRPr="00C719F5" w:rsidRDefault="00C719F5" w:rsidP="00C719F5">
            <w:pPr>
              <w:spacing w:before="150"/>
              <w:jc w:val="right"/>
            </w:pPr>
            <w:r w:rsidRPr="00C719F5">
              <w:t>20 860 505</w:t>
            </w:r>
          </w:p>
        </w:tc>
      </w:tr>
      <w:tr w:rsidR="00C719F5" w:rsidRPr="00C719F5" w14:paraId="7F51AB0A" w14:textId="77777777" w:rsidTr="00C719F5">
        <w:tc>
          <w:tcPr>
            <w:tcW w:w="0" w:type="auto"/>
            <w:hideMark/>
          </w:tcPr>
          <w:p w14:paraId="42B3A67D" w14:textId="77777777" w:rsidR="00C719F5" w:rsidRPr="00C719F5" w:rsidRDefault="00C719F5" w:rsidP="00C719F5">
            <w:pPr>
              <w:spacing w:before="150"/>
            </w:pPr>
            <w:r w:rsidRPr="00C719F5">
              <w:t>в сооружение (строительство), создание (изготовление) и приобретение (аренду) основных средств, стоимость основных средств, а также материальных запасов</w:t>
            </w:r>
          </w:p>
        </w:tc>
        <w:tc>
          <w:tcPr>
            <w:tcW w:w="0" w:type="auto"/>
            <w:hideMark/>
          </w:tcPr>
          <w:p w14:paraId="0106DCCF" w14:textId="77777777" w:rsidR="00C719F5" w:rsidRPr="00C719F5" w:rsidRDefault="00C719F5" w:rsidP="00C719F5">
            <w:pPr>
              <w:spacing w:before="150"/>
              <w:jc w:val="right"/>
            </w:pPr>
            <w:r w:rsidRPr="00C719F5">
              <w:t>10 396 016</w:t>
            </w:r>
          </w:p>
        </w:tc>
      </w:tr>
      <w:tr w:rsidR="00C719F5" w:rsidRPr="00C719F5" w14:paraId="0C17C83F" w14:textId="77777777" w:rsidTr="00C719F5">
        <w:tc>
          <w:tcPr>
            <w:tcW w:w="0" w:type="auto"/>
            <w:hideMark/>
          </w:tcPr>
          <w:p w14:paraId="7B1BA786" w14:textId="77777777" w:rsidR="00C719F5" w:rsidRPr="00C719F5" w:rsidRDefault="00C719F5" w:rsidP="00C719F5">
            <w:pPr>
              <w:spacing w:before="150"/>
            </w:pPr>
            <w:r w:rsidRPr="00C719F5">
              <w:t>Дополнительный капитал, итого</w:t>
            </w:r>
          </w:p>
        </w:tc>
        <w:tc>
          <w:tcPr>
            <w:tcW w:w="0" w:type="auto"/>
            <w:hideMark/>
          </w:tcPr>
          <w:p w14:paraId="6EF6C606" w14:textId="77777777" w:rsidR="00C719F5" w:rsidRPr="00C719F5" w:rsidRDefault="00C719F5" w:rsidP="00C719F5">
            <w:pPr>
              <w:spacing w:before="150"/>
              <w:jc w:val="right"/>
            </w:pPr>
            <w:r w:rsidRPr="00C719F5">
              <w:t>2 122 459</w:t>
            </w:r>
          </w:p>
        </w:tc>
      </w:tr>
    </w:tbl>
    <w:p w14:paraId="6DBEB68E" w14:textId="19048232" w:rsidR="00C719F5" w:rsidRDefault="00C719F5" w:rsidP="00C719F5">
      <w:pPr>
        <w:widowControl w:val="0"/>
        <w:ind w:firstLine="709"/>
        <w:jc w:val="both"/>
        <w:rPr>
          <w:sz w:val="28"/>
          <w:szCs w:val="28"/>
        </w:rPr>
      </w:pPr>
      <w:r>
        <w:rPr>
          <w:sz w:val="28"/>
          <w:szCs w:val="28"/>
        </w:rPr>
        <w:t>В Федеральном законе о банках и банковской деятельности отражены положения о данных нормативах</w:t>
      </w:r>
      <w:r w:rsidRPr="00C719F5">
        <w:rPr>
          <w:sz w:val="28"/>
          <w:szCs w:val="28"/>
        </w:rPr>
        <w:t>:</w:t>
      </w:r>
    </w:p>
    <w:p w14:paraId="3818D85B" w14:textId="77777777" w:rsidR="00C719F5" w:rsidRPr="00C719F5" w:rsidRDefault="00C719F5" w:rsidP="00C719F5">
      <w:pPr>
        <w:widowControl w:val="0"/>
        <w:ind w:firstLine="709"/>
        <w:jc w:val="both"/>
        <w:rPr>
          <w:sz w:val="28"/>
          <w:szCs w:val="28"/>
        </w:rPr>
      </w:pPr>
      <w:r w:rsidRPr="00C719F5">
        <w:rPr>
          <w:sz w:val="28"/>
          <w:szCs w:val="28"/>
        </w:rPr>
        <w:t>Статья 11.2. Минимальный размер собственных средств (капитала) кредитной организации</w:t>
      </w:r>
    </w:p>
    <w:p w14:paraId="2C30F9EB" w14:textId="77777777" w:rsidR="00C719F5" w:rsidRPr="00C719F5" w:rsidRDefault="00C719F5" w:rsidP="00C719F5">
      <w:pPr>
        <w:widowControl w:val="0"/>
        <w:ind w:firstLine="709"/>
        <w:jc w:val="both"/>
        <w:rPr>
          <w:sz w:val="28"/>
          <w:szCs w:val="28"/>
        </w:rPr>
      </w:pPr>
      <w:r w:rsidRPr="00C719F5">
        <w:rPr>
          <w:sz w:val="28"/>
          <w:szCs w:val="28"/>
        </w:rPr>
        <w:t>Минимальный размер собственных средств (капитала) с 1 января 2018 года устанавливается в сумме:</w:t>
      </w:r>
    </w:p>
    <w:p w14:paraId="6DF0848F" w14:textId="77777777" w:rsidR="00C719F5" w:rsidRPr="00C719F5" w:rsidRDefault="00C719F5" w:rsidP="00C719F5">
      <w:pPr>
        <w:widowControl w:val="0"/>
        <w:ind w:firstLine="709"/>
        <w:jc w:val="both"/>
        <w:rPr>
          <w:sz w:val="28"/>
          <w:szCs w:val="28"/>
        </w:rPr>
      </w:pPr>
      <w:r w:rsidRPr="00C719F5">
        <w:rPr>
          <w:sz w:val="28"/>
          <w:szCs w:val="28"/>
        </w:rPr>
        <w:t>1) 1 миллиард рублей (за исключением случаев, определенных частями третьей и четвертой настоящей статьи) - для банка с универсальной лицензией;</w:t>
      </w:r>
    </w:p>
    <w:p w14:paraId="3F1A5A22" w14:textId="77777777" w:rsidR="00C719F5" w:rsidRPr="00C719F5" w:rsidRDefault="00C719F5" w:rsidP="00C719F5">
      <w:pPr>
        <w:widowControl w:val="0"/>
        <w:ind w:firstLine="709"/>
        <w:jc w:val="both"/>
        <w:rPr>
          <w:sz w:val="28"/>
          <w:szCs w:val="28"/>
        </w:rPr>
      </w:pPr>
      <w:r w:rsidRPr="00C719F5">
        <w:rPr>
          <w:sz w:val="28"/>
          <w:szCs w:val="28"/>
        </w:rPr>
        <w:t>2) 300 миллионов рублей - для банка с базовой лицензией.</w:t>
      </w:r>
    </w:p>
    <w:p w14:paraId="7100B1AD" w14:textId="77777777" w:rsidR="00C719F5" w:rsidRPr="00C719F5" w:rsidRDefault="00C719F5" w:rsidP="00C719F5">
      <w:pPr>
        <w:widowControl w:val="0"/>
        <w:ind w:firstLine="709"/>
        <w:jc w:val="both"/>
        <w:rPr>
          <w:sz w:val="28"/>
          <w:szCs w:val="28"/>
        </w:rPr>
      </w:pPr>
      <w:r w:rsidRPr="00C719F5">
        <w:rPr>
          <w:sz w:val="28"/>
          <w:szCs w:val="28"/>
        </w:rPr>
        <w:t>Размер собственных средств (капитала) небанковской кредитной организации, ходатайствующей о получении статуса:</w:t>
      </w:r>
    </w:p>
    <w:p w14:paraId="42AD2632" w14:textId="77777777" w:rsidR="00C719F5" w:rsidRPr="00C719F5" w:rsidRDefault="00C719F5" w:rsidP="00C719F5">
      <w:pPr>
        <w:widowControl w:val="0"/>
        <w:ind w:firstLine="709"/>
        <w:jc w:val="both"/>
        <w:rPr>
          <w:sz w:val="28"/>
          <w:szCs w:val="28"/>
        </w:rPr>
      </w:pPr>
      <w:r w:rsidRPr="00C719F5">
        <w:rPr>
          <w:sz w:val="28"/>
          <w:szCs w:val="28"/>
        </w:rPr>
        <w:t>1) банка с универсальной лицензией, на 1-е число месяца, в котором было подано в Банк России соответствующее ходатайство, с 1 января 2018 года должен быть не менее 1 миллиарда рублей;</w:t>
      </w:r>
    </w:p>
    <w:p w14:paraId="5D03650B" w14:textId="7D87DCCB" w:rsidR="00C719F5" w:rsidRDefault="00C719F5" w:rsidP="00C719F5">
      <w:pPr>
        <w:widowControl w:val="0"/>
        <w:ind w:firstLine="709"/>
        <w:jc w:val="both"/>
        <w:rPr>
          <w:sz w:val="28"/>
          <w:szCs w:val="28"/>
        </w:rPr>
      </w:pPr>
      <w:r w:rsidRPr="00C719F5">
        <w:rPr>
          <w:sz w:val="28"/>
          <w:szCs w:val="28"/>
        </w:rPr>
        <w:t>2) банка с базовой лицензией, на 1-е число месяца, в котором было подано в Банк России соответствующее ходатайство, с 1 января 2018 года должен быть не менее 300 миллионов рублей.</w:t>
      </w:r>
    </w:p>
    <w:p w14:paraId="602E53E7" w14:textId="160B2FCB" w:rsidR="00C719F5" w:rsidRPr="00C719F5" w:rsidRDefault="00C719F5" w:rsidP="00C719F5">
      <w:pPr>
        <w:widowControl w:val="0"/>
        <w:ind w:firstLine="709"/>
        <w:jc w:val="both"/>
        <w:rPr>
          <w:sz w:val="28"/>
          <w:szCs w:val="28"/>
          <w:lang w:val="en-US"/>
        </w:rPr>
      </w:pPr>
      <w:r>
        <w:rPr>
          <w:sz w:val="28"/>
          <w:szCs w:val="28"/>
        </w:rPr>
        <w:t>В данном банке в полной мере выполняются требования достаточности собственных средств и ликвидности капитала.</w:t>
      </w:r>
    </w:p>
    <w:p w14:paraId="08F8CCCC" w14:textId="77777777" w:rsidR="0004162F" w:rsidRPr="0004162F" w:rsidRDefault="0004162F" w:rsidP="0004162F">
      <w:pPr>
        <w:widowControl w:val="0"/>
        <w:ind w:firstLine="709"/>
        <w:jc w:val="both"/>
        <w:rPr>
          <w:sz w:val="28"/>
          <w:szCs w:val="28"/>
        </w:rPr>
      </w:pPr>
    </w:p>
    <w:p w14:paraId="05495D63" w14:textId="62DA5DA2" w:rsidR="003B3BE7" w:rsidRPr="005825C9" w:rsidRDefault="003B3BE7" w:rsidP="003B3BE7">
      <w:pPr>
        <w:widowControl w:val="0"/>
        <w:tabs>
          <w:tab w:val="left" w:pos="1134"/>
        </w:tabs>
        <w:ind w:firstLine="680"/>
        <w:jc w:val="both"/>
        <w:rPr>
          <w:sz w:val="28"/>
          <w:szCs w:val="28"/>
          <w:lang w:eastAsia="en-US" w:bidi="en-US"/>
        </w:rPr>
      </w:pPr>
      <w:r w:rsidRPr="005825C9">
        <w:rPr>
          <w:b/>
          <w:sz w:val="28"/>
          <w:szCs w:val="28"/>
        </w:rPr>
        <w:t xml:space="preserve">Задача </w:t>
      </w:r>
      <w:r>
        <w:rPr>
          <w:b/>
          <w:sz w:val="28"/>
          <w:szCs w:val="28"/>
        </w:rPr>
        <w:t>3</w:t>
      </w:r>
      <w:r w:rsidRPr="005825C9">
        <w:rPr>
          <w:b/>
          <w:sz w:val="28"/>
          <w:szCs w:val="28"/>
        </w:rPr>
        <w:t xml:space="preserve">. </w:t>
      </w:r>
      <w:r w:rsidRPr="005825C9">
        <w:rPr>
          <w:sz w:val="28"/>
          <w:szCs w:val="28"/>
        </w:rPr>
        <w:t>На основе самостоятельно собранной Вами информации (интернет-ресурсы), составьте краткий обзор мнений исследователей (положительные и отрицательные отзывы) об эффективности управления конкретным российским банком (выбор банка должен быть согласован с преподавателем). </w:t>
      </w:r>
    </w:p>
    <w:p w14:paraId="3F0D9B55" w14:textId="40A0A089" w:rsidR="003B3BE7" w:rsidRPr="005825C9" w:rsidRDefault="003B3BE7" w:rsidP="003B3BE7">
      <w:pPr>
        <w:tabs>
          <w:tab w:val="left" w:pos="1134"/>
        </w:tabs>
        <w:spacing w:line="276" w:lineRule="auto"/>
        <w:ind w:firstLine="680"/>
        <w:jc w:val="both"/>
        <w:rPr>
          <w:sz w:val="28"/>
          <w:szCs w:val="28"/>
        </w:rPr>
      </w:pPr>
      <w:r w:rsidRPr="005825C9">
        <w:rPr>
          <w:sz w:val="28"/>
          <w:szCs w:val="28"/>
        </w:rPr>
        <w:t xml:space="preserve">Рекомендуемые источники информации представлены в Списке литературы </w:t>
      </w:r>
      <w:r>
        <w:rPr>
          <w:sz w:val="28"/>
          <w:szCs w:val="28"/>
        </w:rPr>
        <w:t>к дисциплине</w:t>
      </w:r>
      <w:r w:rsidRPr="005825C9">
        <w:rPr>
          <w:sz w:val="28"/>
          <w:szCs w:val="28"/>
        </w:rPr>
        <w:t>. Кроме того, в качестве дополнительных источников информации рекомендуем ознакомиться, в частности:</w:t>
      </w:r>
    </w:p>
    <w:p w14:paraId="080CED97" w14:textId="3FC014EE" w:rsidR="003B3BE7" w:rsidRDefault="008852B6" w:rsidP="003B3BE7">
      <w:pPr>
        <w:tabs>
          <w:tab w:val="left" w:pos="1134"/>
        </w:tabs>
        <w:spacing w:line="276" w:lineRule="auto"/>
        <w:ind w:firstLine="680"/>
        <w:jc w:val="both"/>
        <w:rPr>
          <w:color w:val="0000FF"/>
          <w:sz w:val="28"/>
          <w:szCs w:val="28"/>
          <w:u w:val="single"/>
        </w:rPr>
      </w:pPr>
      <w:hyperlink r:id="rId7" w:history="1">
        <w:r w:rsidR="003B3BE7" w:rsidRPr="005825C9">
          <w:rPr>
            <w:color w:val="0000FF"/>
            <w:sz w:val="28"/>
            <w:szCs w:val="28"/>
            <w:u w:val="single"/>
          </w:rPr>
          <w:t>http://www.banki.ru/services/responses/</w:t>
        </w:r>
      </w:hyperlink>
    </w:p>
    <w:p w14:paraId="46EFBEC9" w14:textId="505EEF07" w:rsidR="003B3BE7" w:rsidRDefault="008852B6" w:rsidP="003B3BE7">
      <w:pPr>
        <w:tabs>
          <w:tab w:val="left" w:pos="1134"/>
        </w:tabs>
        <w:spacing w:line="276" w:lineRule="auto"/>
        <w:ind w:firstLine="680"/>
        <w:jc w:val="both"/>
        <w:rPr>
          <w:sz w:val="28"/>
          <w:szCs w:val="28"/>
        </w:rPr>
      </w:pPr>
      <w:hyperlink r:id="rId8" w:history="1">
        <w:r w:rsidR="003B3BE7" w:rsidRPr="00703246">
          <w:rPr>
            <w:rStyle w:val="a5"/>
            <w:sz w:val="28"/>
            <w:szCs w:val="28"/>
          </w:rPr>
          <w:t>https://analizbankov.ru/</w:t>
        </w:r>
      </w:hyperlink>
    </w:p>
    <w:p w14:paraId="2208B871" w14:textId="2B626DD7" w:rsidR="003B3BE7" w:rsidRDefault="008852B6" w:rsidP="003B3BE7">
      <w:pPr>
        <w:tabs>
          <w:tab w:val="left" w:pos="1134"/>
        </w:tabs>
        <w:spacing w:line="276" w:lineRule="auto"/>
        <w:ind w:firstLine="680"/>
        <w:jc w:val="both"/>
        <w:rPr>
          <w:sz w:val="28"/>
          <w:szCs w:val="28"/>
        </w:rPr>
      </w:pPr>
      <w:hyperlink r:id="rId9" w:history="1">
        <w:r w:rsidR="003B3BE7" w:rsidRPr="00703246">
          <w:rPr>
            <w:rStyle w:val="a5"/>
            <w:sz w:val="28"/>
            <w:szCs w:val="28"/>
          </w:rPr>
          <w:t>http://kuap.ru/</w:t>
        </w:r>
      </w:hyperlink>
    </w:p>
    <w:p w14:paraId="730367EF" w14:textId="0B8334EB" w:rsidR="003B3BE7" w:rsidRDefault="003B3BE7" w:rsidP="003B3BE7">
      <w:pPr>
        <w:tabs>
          <w:tab w:val="left" w:pos="1134"/>
        </w:tabs>
        <w:spacing w:line="276" w:lineRule="auto"/>
        <w:ind w:firstLine="680"/>
        <w:jc w:val="both"/>
        <w:rPr>
          <w:sz w:val="28"/>
          <w:szCs w:val="28"/>
        </w:rPr>
      </w:pPr>
      <w:r w:rsidRPr="005825C9">
        <w:rPr>
          <w:sz w:val="28"/>
          <w:szCs w:val="28"/>
        </w:rPr>
        <w:t>и др.</w:t>
      </w:r>
    </w:p>
    <w:p w14:paraId="4391D990" w14:textId="78031C74" w:rsidR="003B3BE7" w:rsidRDefault="00C719F5" w:rsidP="003B3BE7">
      <w:pPr>
        <w:tabs>
          <w:tab w:val="left" w:pos="1134"/>
        </w:tabs>
        <w:spacing w:line="276" w:lineRule="auto"/>
        <w:ind w:firstLine="680"/>
        <w:jc w:val="both"/>
        <w:rPr>
          <w:sz w:val="28"/>
          <w:szCs w:val="28"/>
          <w:lang w:val="en-US"/>
        </w:rPr>
      </w:pPr>
      <w:r>
        <w:rPr>
          <w:sz w:val="28"/>
          <w:szCs w:val="28"/>
        </w:rPr>
        <w:t>Решение</w:t>
      </w:r>
      <w:r>
        <w:rPr>
          <w:sz w:val="28"/>
          <w:szCs w:val="28"/>
          <w:lang w:val="en-US"/>
        </w:rPr>
        <w:t>:</w:t>
      </w:r>
    </w:p>
    <w:p w14:paraId="04896A95" w14:textId="77777777" w:rsidR="00F01B89" w:rsidRPr="00DD018E" w:rsidRDefault="00F01B89" w:rsidP="00F01B89">
      <w:pPr>
        <w:tabs>
          <w:tab w:val="left" w:pos="4678"/>
        </w:tabs>
        <w:ind w:firstLine="708"/>
        <w:jc w:val="both"/>
        <w:rPr>
          <w:sz w:val="28"/>
          <w:szCs w:val="28"/>
        </w:rPr>
      </w:pPr>
      <w:r w:rsidRPr="00DD018E">
        <w:rPr>
          <w:sz w:val="28"/>
          <w:szCs w:val="28"/>
        </w:rPr>
        <w:t>Благодаря своей уникальной бизнес-модели Тинькофф Банк является одним из самых эффективных – это было отмечено национальным рейтинговым агентством АКРА, присвоив банку кредитный рейтинг А(</w:t>
      </w:r>
      <w:r w:rsidRPr="00DD018E">
        <w:rPr>
          <w:sz w:val="28"/>
          <w:szCs w:val="28"/>
          <w:lang w:val="en-US"/>
        </w:rPr>
        <w:t>RU</w:t>
      </w:r>
      <w:r w:rsidRPr="00DD018E">
        <w:rPr>
          <w:sz w:val="28"/>
          <w:szCs w:val="28"/>
        </w:rPr>
        <w:t>) летом 2017 года. Тинькофф активно привлекает к работе через эту платформу декретниц, людей с ограниченными возможностями, а также граждан, испытывающих трудности с трудоустройством в самых отдаленных уголках страны. Зарплата в среднем составляет от 30 000 до 40 000 рублей в месяц. При этом заработок зависит от количества рабочих часов, то есть во многом размер з/п зависит от желания сотрудника.</w:t>
      </w:r>
    </w:p>
    <w:p w14:paraId="26CA8230" w14:textId="77777777" w:rsidR="00F01B89" w:rsidRPr="00DD018E" w:rsidRDefault="00F01B89" w:rsidP="00F01B89">
      <w:pPr>
        <w:tabs>
          <w:tab w:val="left" w:pos="4678"/>
        </w:tabs>
        <w:ind w:firstLine="708"/>
        <w:jc w:val="both"/>
        <w:rPr>
          <w:sz w:val="28"/>
          <w:szCs w:val="28"/>
        </w:rPr>
      </w:pPr>
      <w:r w:rsidRPr="00DD018E">
        <w:rPr>
          <w:sz w:val="28"/>
          <w:szCs w:val="28"/>
        </w:rPr>
        <w:t xml:space="preserve">Около половины банковских сотрудников работают из дома в нашем «облачном» или «домашнем» контакт-центре. Облачный контакт-центр — также инновация на базе собственного </w:t>
      </w:r>
      <w:r w:rsidRPr="00DD018E">
        <w:rPr>
          <w:sz w:val="28"/>
          <w:szCs w:val="28"/>
          <w:lang w:val="en-US"/>
        </w:rPr>
        <w:t>IT</w:t>
      </w:r>
      <w:r w:rsidRPr="00DD018E">
        <w:rPr>
          <w:sz w:val="28"/>
          <w:szCs w:val="28"/>
        </w:rPr>
        <w:t>-решения «</w:t>
      </w:r>
      <w:r w:rsidRPr="00DD018E">
        <w:rPr>
          <w:sz w:val="28"/>
          <w:szCs w:val="28"/>
          <w:lang w:val="en-US"/>
        </w:rPr>
        <w:t>Web</w:t>
      </w:r>
      <w:r w:rsidRPr="00DD018E">
        <w:rPr>
          <w:sz w:val="28"/>
          <w:szCs w:val="28"/>
        </w:rPr>
        <w:t xml:space="preserve"> </w:t>
      </w:r>
      <w:r w:rsidRPr="00DD018E">
        <w:rPr>
          <w:sz w:val="28"/>
          <w:szCs w:val="28"/>
          <w:lang w:val="en-US"/>
        </w:rPr>
        <w:t>Office</w:t>
      </w:r>
      <w:r w:rsidRPr="00DD018E">
        <w:rPr>
          <w:sz w:val="28"/>
          <w:szCs w:val="28"/>
        </w:rPr>
        <w:t>». Это самый большой КЦ в Европе по численности персонала.</w:t>
      </w:r>
    </w:p>
    <w:p w14:paraId="41F13DC9" w14:textId="77777777" w:rsidR="00F01B89" w:rsidRPr="00DD018E" w:rsidRDefault="00F01B89" w:rsidP="00F01B89">
      <w:pPr>
        <w:tabs>
          <w:tab w:val="left" w:pos="4678"/>
        </w:tabs>
        <w:ind w:firstLine="708"/>
        <w:jc w:val="both"/>
        <w:rPr>
          <w:sz w:val="28"/>
          <w:szCs w:val="28"/>
        </w:rPr>
      </w:pPr>
      <w:r w:rsidRPr="00DD018E">
        <w:rPr>
          <w:sz w:val="28"/>
          <w:szCs w:val="28"/>
        </w:rPr>
        <w:t xml:space="preserve">Тинькофф, как ведущий «цифровой» банк страны, является одной из самых высокотехнологичных финтех-компаний в мире. Западные аналитики называют </w:t>
      </w:r>
      <w:r w:rsidRPr="00DD018E">
        <w:rPr>
          <w:sz w:val="28"/>
          <w:szCs w:val="28"/>
          <w:lang w:val="en-US"/>
        </w:rPr>
        <w:t>Tinkoff</w:t>
      </w:r>
      <w:r w:rsidRPr="00DD018E">
        <w:rPr>
          <w:sz w:val="28"/>
          <w:szCs w:val="28"/>
        </w:rPr>
        <w:t xml:space="preserve"> главным «</w:t>
      </w:r>
      <w:r w:rsidRPr="00DD018E">
        <w:rPr>
          <w:sz w:val="28"/>
          <w:szCs w:val="28"/>
          <w:lang w:val="en-US"/>
        </w:rPr>
        <w:t>fintech</w:t>
      </w:r>
      <w:r w:rsidRPr="00DD018E">
        <w:rPr>
          <w:sz w:val="28"/>
          <w:szCs w:val="28"/>
        </w:rPr>
        <w:t xml:space="preserve"> </w:t>
      </w:r>
      <w:r w:rsidRPr="00DD018E">
        <w:rPr>
          <w:sz w:val="28"/>
          <w:szCs w:val="28"/>
          <w:lang w:val="en-US"/>
        </w:rPr>
        <w:t>disrupter</w:t>
      </w:r>
      <w:r w:rsidRPr="00DD018E">
        <w:rPr>
          <w:sz w:val="28"/>
          <w:szCs w:val="28"/>
        </w:rPr>
        <w:t xml:space="preserve"> </w:t>
      </w:r>
      <w:r w:rsidRPr="00DD018E">
        <w:rPr>
          <w:sz w:val="28"/>
          <w:szCs w:val="28"/>
          <w:lang w:val="en-US"/>
        </w:rPr>
        <w:t>in</w:t>
      </w:r>
      <w:r w:rsidRPr="00DD018E">
        <w:rPr>
          <w:sz w:val="28"/>
          <w:szCs w:val="28"/>
        </w:rPr>
        <w:t xml:space="preserve"> </w:t>
      </w:r>
      <w:r w:rsidRPr="00DD018E">
        <w:rPr>
          <w:sz w:val="28"/>
          <w:szCs w:val="28"/>
          <w:lang w:val="en-US"/>
        </w:rPr>
        <w:t>the</w:t>
      </w:r>
      <w:r w:rsidRPr="00DD018E">
        <w:rPr>
          <w:sz w:val="28"/>
          <w:szCs w:val="28"/>
        </w:rPr>
        <w:t xml:space="preserve"> </w:t>
      </w:r>
      <w:r w:rsidRPr="00DD018E">
        <w:rPr>
          <w:sz w:val="28"/>
          <w:szCs w:val="28"/>
          <w:lang w:val="en-US"/>
        </w:rPr>
        <w:t>world</w:t>
      </w:r>
      <w:r w:rsidRPr="00DD018E">
        <w:rPr>
          <w:sz w:val="28"/>
          <w:szCs w:val="28"/>
        </w:rPr>
        <w:t>». Более 70% персонала в штаб-квартире это ай-ти-специалисты. Это и объясняет почему иногда банк называют «ИТ-компания с банковской лицензией».За последние несколько лет был разработан и внедрен целый ряд решений, которые позволили заметно повысить качество клиентского обслуживания:</w:t>
      </w:r>
    </w:p>
    <w:p w14:paraId="5EDC1365" w14:textId="77777777" w:rsidR="00F01B89" w:rsidRPr="00DD018E" w:rsidRDefault="00F01B89" w:rsidP="00F01B89">
      <w:pPr>
        <w:tabs>
          <w:tab w:val="left" w:pos="4678"/>
        </w:tabs>
        <w:ind w:firstLine="708"/>
        <w:jc w:val="both"/>
        <w:rPr>
          <w:sz w:val="28"/>
          <w:szCs w:val="28"/>
        </w:rPr>
      </w:pPr>
      <w:r w:rsidRPr="00DD018E">
        <w:rPr>
          <w:sz w:val="28"/>
          <w:szCs w:val="28"/>
        </w:rPr>
        <w:t xml:space="preserve">Технология идентификации клиентов по голосу. Тинькофф стал первым в России банком, который внедрил системы распознавания в своем контакт-центре в 2014 г. Разработанное решение часто дает лучший результат по качеству распознавания, чем </w:t>
      </w:r>
      <w:r w:rsidRPr="00DD018E">
        <w:rPr>
          <w:sz w:val="28"/>
          <w:szCs w:val="28"/>
          <w:lang w:val="en-US"/>
        </w:rPr>
        <w:t>Siri</w:t>
      </w:r>
      <w:r w:rsidRPr="00DD018E">
        <w:rPr>
          <w:sz w:val="28"/>
          <w:szCs w:val="28"/>
        </w:rPr>
        <w:t>. Эта технология позволила сократить длительность звонка клиента в среднем на минуту, повышая общее качество обслуживания и уровень безопасности</w:t>
      </w:r>
    </w:p>
    <w:p w14:paraId="3BE0FF8E" w14:textId="77777777" w:rsidR="00F01B89" w:rsidRPr="00DD018E" w:rsidRDefault="00F01B89" w:rsidP="00F01B89">
      <w:pPr>
        <w:tabs>
          <w:tab w:val="left" w:pos="4678"/>
        </w:tabs>
        <w:ind w:firstLine="708"/>
        <w:jc w:val="both"/>
        <w:rPr>
          <w:sz w:val="28"/>
          <w:szCs w:val="28"/>
        </w:rPr>
      </w:pPr>
      <w:r w:rsidRPr="00DD018E">
        <w:rPr>
          <w:sz w:val="28"/>
          <w:szCs w:val="28"/>
        </w:rPr>
        <w:t>Технология распознавания речи. Эта технология позволила банку перевести 100% звонков в текст, благодаря чему постоянно улучшаются сценарии обслуживания клиентов</w:t>
      </w:r>
    </w:p>
    <w:p w14:paraId="41B8B9B6" w14:textId="77777777" w:rsidR="00F01B89" w:rsidRPr="00DD018E" w:rsidRDefault="00F01B89" w:rsidP="00F01B89">
      <w:pPr>
        <w:tabs>
          <w:tab w:val="left" w:pos="4678"/>
        </w:tabs>
        <w:ind w:firstLine="708"/>
        <w:jc w:val="both"/>
        <w:rPr>
          <w:sz w:val="28"/>
          <w:szCs w:val="28"/>
        </w:rPr>
      </w:pPr>
      <w:r w:rsidRPr="00DD018E">
        <w:rPr>
          <w:sz w:val="28"/>
          <w:szCs w:val="28"/>
        </w:rPr>
        <w:t>Технология по распознаванию лиц. Данная технология давно внедрена в мобильные приложения, которыми пользуются банковские представители. В ближайшее время планируется внедрение этой технологии в мобильный банк для клиентов и банкоматы.</w:t>
      </w:r>
    </w:p>
    <w:p w14:paraId="66B94DC3" w14:textId="77777777" w:rsidR="00F01B89" w:rsidRPr="00083FBF" w:rsidRDefault="00F01B89" w:rsidP="00F01B89">
      <w:pPr>
        <w:tabs>
          <w:tab w:val="left" w:pos="4678"/>
        </w:tabs>
        <w:ind w:firstLine="708"/>
        <w:jc w:val="both"/>
        <w:rPr>
          <w:sz w:val="28"/>
          <w:szCs w:val="28"/>
        </w:rPr>
      </w:pPr>
      <w:r w:rsidRPr="00DD018E">
        <w:rPr>
          <w:sz w:val="28"/>
          <w:szCs w:val="28"/>
          <w:lang w:val="en-US"/>
        </w:rPr>
        <w:t>Tinkoff</w:t>
      </w:r>
      <w:r w:rsidRPr="00DD018E">
        <w:rPr>
          <w:sz w:val="28"/>
          <w:szCs w:val="28"/>
        </w:rPr>
        <w:t xml:space="preserve"> </w:t>
      </w:r>
      <w:r w:rsidRPr="00DD018E">
        <w:rPr>
          <w:sz w:val="28"/>
          <w:szCs w:val="28"/>
          <w:lang w:val="en-US"/>
        </w:rPr>
        <w:t>Bank</w:t>
      </w:r>
      <w:r w:rsidRPr="00DD018E">
        <w:rPr>
          <w:sz w:val="28"/>
          <w:szCs w:val="28"/>
        </w:rPr>
        <w:t xml:space="preserve"> продолжает активно развивать свой бизнес и имеет хорошие перспективы для продолжения роста в долгосрочной перспективе. Благодаря успешней диверсификации бизнеса, способностям  команды и доказанной бизнес-модели, в банке ожидают, что в ближайшие два года прирост чистой прибыли будет составлять от 20% до 40% ежегодно. Также планируется что к концу 2019 года на долю новых, некредитных направлений </w:t>
      </w:r>
      <w:r w:rsidRPr="00DD018E">
        <w:rPr>
          <w:sz w:val="28"/>
          <w:szCs w:val="28"/>
        </w:rPr>
        <w:lastRenderedPageBreak/>
        <w:t>деятельности, будет приходиться до 30% чистой прибыли — уже сейчас этот показатель приближается к 20% выручки.</w:t>
      </w:r>
    </w:p>
    <w:p w14:paraId="6DE91917" w14:textId="77777777" w:rsidR="00F01B89" w:rsidRPr="000469D6" w:rsidRDefault="00F01B89" w:rsidP="00F01B89">
      <w:pPr>
        <w:tabs>
          <w:tab w:val="left" w:pos="4678"/>
        </w:tabs>
        <w:ind w:firstLine="708"/>
        <w:jc w:val="both"/>
        <w:rPr>
          <w:b/>
          <w:sz w:val="28"/>
          <w:szCs w:val="28"/>
        </w:rPr>
      </w:pPr>
      <w:r w:rsidRPr="000469D6">
        <w:rPr>
          <w:b/>
          <w:sz w:val="28"/>
          <w:szCs w:val="28"/>
        </w:rPr>
        <w:t>Риски и угрозы бизнес-модели:</w:t>
      </w:r>
    </w:p>
    <w:p w14:paraId="22746CBC" w14:textId="77777777" w:rsidR="00F01B89" w:rsidRPr="000469D6" w:rsidRDefault="00F01B89" w:rsidP="00F01B89">
      <w:pPr>
        <w:tabs>
          <w:tab w:val="left" w:pos="4678"/>
        </w:tabs>
        <w:ind w:firstLine="708"/>
        <w:jc w:val="both"/>
        <w:rPr>
          <w:sz w:val="28"/>
          <w:szCs w:val="28"/>
        </w:rPr>
      </w:pPr>
      <w:r w:rsidRPr="000469D6">
        <w:rPr>
          <w:sz w:val="28"/>
          <w:szCs w:val="28"/>
        </w:rPr>
        <w:t>Кредитный риск миграции  – риск убытков, связанных с полной или частичной потерей стоимости:</w:t>
      </w:r>
    </w:p>
    <w:p w14:paraId="677C38FE"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финансового актива, не подлежащего ежедневной переоценке по текущей справедливой стоимости (например, кредита, долговой ценной бумаги, удерживаемой до погашения) в связи с дефолтом или ухудшением кредитного качества контрагента/эмитента (миграции);</w:t>
      </w:r>
    </w:p>
    <w:p w14:paraId="23A35A2B"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ценной бумаги в связи с дефолтом эмитента.</w:t>
      </w:r>
    </w:p>
    <w:p w14:paraId="4CC6DAB1" w14:textId="77777777" w:rsidR="00F01B89" w:rsidRPr="000469D6" w:rsidRDefault="00F01B89" w:rsidP="00F01B89">
      <w:pPr>
        <w:tabs>
          <w:tab w:val="left" w:pos="4678"/>
        </w:tabs>
        <w:ind w:firstLine="708"/>
        <w:jc w:val="both"/>
        <w:rPr>
          <w:sz w:val="28"/>
          <w:szCs w:val="28"/>
        </w:rPr>
      </w:pPr>
      <w:r w:rsidRPr="000469D6">
        <w:rPr>
          <w:sz w:val="28"/>
          <w:szCs w:val="28"/>
        </w:rPr>
        <w:t>Риск контрагента по операциям на финансовых рынках – риск, связанный с нежеланием или невозможностью полного и своевременного исполнения обязательств по сделке со стороны контрагента. Риск контрагента относится к двустороннему кредитному риску срочных сделок с суммами под риском (exposure), которые могут со временем меняться по мере движения базовых рыночных факторов или цены базовых активов. Риск контрагента имеет два компонента:</w:t>
      </w:r>
    </w:p>
    <w:p w14:paraId="03C0A58D"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предрасчетный риск, который является риском несения убытков в связи с возможным неисполнением обязательств по сделке со стороны контрагента в течение срока сделки;</w:t>
      </w:r>
    </w:p>
    <w:p w14:paraId="109BBF42"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расчетный риск, который является риском убытка в связи с неисполнением контрагентом своего обязательства после выполнения Сбербанком своего обязательства по контракту или соглашению (путем представления денежных средств, ценных бумаг и других активов) на дату взаиморасчетов.</w:t>
      </w:r>
    </w:p>
    <w:p w14:paraId="420500D2" w14:textId="77777777" w:rsidR="00F01B89" w:rsidRPr="000469D6" w:rsidRDefault="00F01B89" w:rsidP="00F01B89">
      <w:pPr>
        <w:tabs>
          <w:tab w:val="left" w:pos="4678"/>
        </w:tabs>
        <w:ind w:firstLine="708"/>
        <w:jc w:val="both"/>
        <w:rPr>
          <w:sz w:val="28"/>
          <w:szCs w:val="28"/>
        </w:rPr>
      </w:pPr>
      <w:r w:rsidRPr="000469D6">
        <w:rPr>
          <w:sz w:val="28"/>
          <w:szCs w:val="28"/>
        </w:rPr>
        <w:t>Риск концентрации (в части кредитного риска)  – риск, связанный:</w:t>
      </w:r>
    </w:p>
    <w:p w14:paraId="54FD5AD2"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с предоставлением крупных кредитов отдельному заемщику или группе связанных заемщиков;</w:t>
      </w:r>
    </w:p>
    <w:p w14:paraId="1691FEA9"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концентрацией задолженности по отдельным отраслям экономики, сегментам, портфелям, географическим регионам и др.;</w:t>
      </w:r>
    </w:p>
    <w:p w14:paraId="79E36119"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концентрацией вложений в ценные бумаги, относящиеся к отдельным отраслям либо географическим регионам;</w:t>
      </w:r>
    </w:p>
    <w:p w14:paraId="2310F5C5" w14:textId="77777777" w:rsidR="00F01B89" w:rsidRPr="000469D6" w:rsidRDefault="00F01B89" w:rsidP="00F01B89">
      <w:pPr>
        <w:tabs>
          <w:tab w:val="left" w:pos="4678"/>
        </w:tabs>
        <w:ind w:firstLine="708"/>
        <w:jc w:val="both"/>
        <w:rPr>
          <w:sz w:val="28"/>
          <w:szCs w:val="28"/>
        </w:rPr>
      </w:pPr>
      <w:r>
        <w:rPr>
          <w:sz w:val="28"/>
          <w:szCs w:val="28"/>
        </w:rPr>
        <w:t xml:space="preserve">- </w:t>
      </w:r>
      <w:r w:rsidRPr="000469D6">
        <w:rPr>
          <w:sz w:val="28"/>
          <w:szCs w:val="28"/>
        </w:rPr>
        <w:t>наличием иных обязательств, которые делают их уязвимыми к одним и тем же экономическим факторам.</w:t>
      </w:r>
    </w:p>
    <w:p w14:paraId="5CB13971" w14:textId="77777777" w:rsidR="00F01B89" w:rsidRPr="000469D6" w:rsidRDefault="00F01B89" w:rsidP="00F01B89">
      <w:pPr>
        <w:tabs>
          <w:tab w:val="left" w:pos="4678"/>
        </w:tabs>
        <w:ind w:firstLine="708"/>
        <w:jc w:val="both"/>
        <w:rPr>
          <w:sz w:val="28"/>
          <w:szCs w:val="28"/>
        </w:rPr>
      </w:pPr>
      <w:r w:rsidRPr="000469D6">
        <w:rPr>
          <w:sz w:val="28"/>
          <w:szCs w:val="28"/>
        </w:rPr>
        <w:t>Остаточный риск  – риск, возникающий в связи с тем, что применяемые методы снижения риска могут не дать ожидаемого эффекта в связи с реализацией в отношении принятого обеспечения, например правового риска, риска ликвидности.</w:t>
      </w:r>
    </w:p>
    <w:p w14:paraId="15F58AB5" w14:textId="77777777" w:rsidR="00F01B89" w:rsidRPr="000469D6" w:rsidRDefault="00F01B89" w:rsidP="00F01B89">
      <w:pPr>
        <w:tabs>
          <w:tab w:val="left" w:pos="4678"/>
        </w:tabs>
        <w:ind w:firstLine="708"/>
        <w:jc w:val="both"/>
        <w:rPr>
          <w:sz w:val="28"/>
          <w:szCs w:val="28"/>
        </w:rPr>
      </w:pPr>
      <w:r w:rsidRPr="000469D6">
        <w:rPr>
          <w:sz w:val="28"/>
          <w:szCs w:val="28"/>
        </w:rPr>
        <w:t>Группа рыночных рисков включает в себя процентный риск, фондовый риск, валютный риск, товарный риск, риск рыночного кредитного спреда, риск волатильности.</w:t>
      </w:r>
    </w:p>
    <w:p w14:paraId="07D6EF64" w14:textId="77777777" w:rsidR="00F01B89" w:rsidRPr="000469D6" w:rsidRDefault="00F01B89" w:rsidP="00F01B89">
      <w:pPr>
        <w:tabs>
          <w:tab w:val="left" w:pos="4678"/>
        </w:tabs>
        <w:ind w:firstLine="708"/>
        <w:jc w:val="both"/>
        <w:rPr>
          <w:sz w:val="28"/>
          <w:szCs w:val="28"/>
        </w:rPr>
      </w:pPr>
      <w:r w:rsidRPr="000469D6">
        <w:rPr>
          <w:sz w:val="28"/>
          <w:szCs w:val="28"/>
        </w:rPr>
        <w:t>Процентный риск  – риск возникновения убытков или снижения прибыли, связанный с изменением уровня процентных ставок.</w:t>
      </w:r>
    </w:p>
    <w:p w14:paraId="5BAA7431" w14:textId="77777777" w:rsidR="00F01B89" w:rsidRPr="000469D6" w:rsidRDefault="00F01B89" w:rsidP="00F01B89">
      <w:pPr>
        <w:tabs>
          <w:tab w:val="left" w:pos="4678"/>
        </w:tabs>
        <w:ind w:firstLine="708"/>
        <w:jc w:val="both"/>
        <w:rPr>
          <w:sz w:val="28"/>
          <w:szCs w:val="28"/>
        </w:rPr>
      </w:pPr>
      <w:r w:rsidRPr="000469D6">
        <w:rPr>
          <w:sz w:val="28"/>
          <w:szCs w:val="28"/>
        </w:rPr>
        <w:lastRenderedPageBreak/>
        <w:t>Фондовый риск  – риск возникновения убытков или снижения прибыли, связанный с изменением справедливой стоимости долевых ценных бумаг (например, обыкновенных и привилегированных акций).</w:t>
      </w:r>
    </w:p>
    <w:p w14:paraId="353863BA" w14:textId="77777777" w:rsidR="00F01B89" w:rsidRPr="000469D6" w:rsidRDefault="00F01B89" w:rsidP="00F01B89">
      <w:pPr>
        <w:tabs>
          <w:tab w:val="left" w:pos="4678"/>
        </w:tabs>
        <w:ind w:firstLine="708"/>
        <w:jc w:val="both"/>
        <w:rPr>
          <w:sz w:val="28"/>
          <w:szCs w:val="28"/>
        </w:rPr>
      </w:pPr>
      <w:r w:rsidRPr="000469D6">
        <w:rPr>
          <w:sz w:val="28"/>
          <w:szCs w:val="28"/>
        </w:rPr>
        <w:t>Валютный риск  – риск возникновения убытков или снижения прибыли, связанный с изменением курсов иностранных валют и (или) драгоценных металлов.</w:t>
      </w:r>
    </w:p>
    <w:p w14:paraId="4F56ADF0" w14:textId="77777777" w:rsidR="00F01B89" w:rsidRPr="000469D6" w:rsidRDefault="00F01B89" w:rsidP="00F01B89">
      <w:pPr>
        <w:tabs>
          <w:tab w:val="left" w:pos="4678"/>
        </w:tabs>
        <w:ind w:firstLine="708"/>
        <w:jc w:val="both"/>
        <w:rPr>
          <w:sz w:val="28"/>
          <w:szCs w:val="28"/>
        </w:rPr>
      </w:pPr>
      <w:r w:rsidRPr="000469D6">
        <w:rPr>
          <w:sz w:val="28"/>
          <w:szCs w:val="28"/>
        </w:rPr>
        <w:t>Товарный риск  – риск возникновения убытков или снижения прибыли, связанный с изменением стоимости товарных активов (за исключением драгоценных металлов).</w:t>
      </w:r>
    </w:p>
    <w:p w14:paraId="4B5BA215" w14:textId="77777777" w:rsidR="00F01B89" w:rsidRPr="000469D6" w:rsidRDefault="00F01B89" w:rsidP="00F01B89">
      <w:pPr>
        <w:tabs>
          <w:tab w:val="left" w:pos="4678"/>
        </w:tabs>
        <w:ind w:firstLine="708"/>
        <w:jc w:val="both"/>
        <w:rPr>
          <w:sz w:val="28"/>
          <w:szCs w:val="28"/>
        </w:rPr>
      </w:pPr>
      <w:r w:rsidRPr="000469D6">
        <w:rPr>
          <w:sz w:val="28"/>
          <w:szCs w:val="28"/>
        </w:rPr>
        <w:t>Риск рыночного кредитного спреда  – риск убытков вследствие неблагоприятного изменения рыночных цен на финансовые инструменты, текущая справедливая стоимость которых зависит от рыночной оценки кредитного качества эмитента долговой бумаги / контрагента по сделке (связанного имени), при ухудшении кредитного качества эмитента/контрагента, включая его дефолт.</w:t>
      </w:r>
    </w:p>
    <w:p w14:paraId="1565EDED" w14:textId="77777777" w:rsidR="00F01B89" w:rsidRPr="000469D6" w:rsidRDefault="00F01B89" w:rsidP="00F01B89">
      <w:pPr>
        <w:tabs>
          <w:tab w:val="left" w:pos="4678"/>
        </w:tabs>
        <w:ind w:firstLine="708"/>
        <w:jc w:val="both"/>
        <w:rPr>
          <w:sz w:val="28"/>
          <w:szCs w:val="28"/>
        </w:rPr>
      </w:pPr>
      <w:r w:rsidRPr="000469D6">
        <w:rPr>
          <w:sz w:val="28"/>
          <w:szCs w:val="28"/>
        </w:rPr>
        <w:t>Риск волатильности  – риск возникновения убытков или снижения прибыли, связанный с изменением волатильности цены базового актива финансового инструмента.</w:t>
      </w:r>
    </w:p>
    <w:p w14:paraId="02655EF7" w14:textId="77777777" w:rsidR="00F01B89" w:rsidRPr="000469D6" w:rsidRDefault="00F01B89" w:rsidP="00F01B89">
      <w:pPr>
        <w:tabs>
          <w:tab w:val="left" w:pos="4678"/>
        </w:tabs>
        <w:ind w:firstLine="708"/>
        <w:jc w:val="both"/>
        <w:rPr>
          <w:b/>
          <w:sz w:val="28"/>
          <w:szCs w:val="28"/>
        </w:rPr>
      </w:pPr>
      <w:r w:rsidRPr="000469D6">
        <w:rPr>
          <w:b/>
          <w:sz w:val="28"/>
          <w:szCs w:val="28"/>
        </w:rPr>
        <w:t>Представим предложения по повышению эффективности анализируемой бизнес-модели:</w:t>
      </w:r>
    </w:p>
    <w:p w14:paraId="05F8D03F" w14:textId="77777777" w:rsidR="00F01B89" w:rsidRPr="000469D6" w:rsidRDefault="00F01B89" w:rsidP="00F01B89">
      <w:pPr>
        <w:tabs>
          <w:tab w:val="left" w:pos="4678"/>
        </w:tabs>
        <w:ind w:firstLine="708"/>
        <w:jc w:val="both"/>
        <w:rPr>
          <w:sz w:val="28"/>
          <w:szCs w:val="28"/>
        </w:rPr>
      </w:pPr>
      <w:r>
        <w:rPr>
          <w:sz w:val="28"/>
          <w:szCs w:val="28"/>
        </w:rPr>
        <w:t>1. А</w:t>
      </w:r>
      <w:r w:rsidRPr="000469D6">
        <w:rPr>
          <w:sz w:val="28"/>
          <w:szCs w:val="28"/>
        </w:rPr>
        <w:t xml:space="preserve">нализ существующего процесса оперирования с доходами и расходами, изучение существующего порядка и методик планирования и контроля доходов и расходов, методов их учета и анализа </w:t>
      </w:r>
      <w:r>
        <w:rPr>
          <w:sz w:val="28"/>
          <w:szCs w:val="28"/>
        </w:rPr>
        <w:t>в рамках бюджетного управления;</w:t>
      </w:r>
    </w:p>
    <w:p w14:paraId="3559C24D" w14:textId="77777777" w:rsidR="00F01B89" w:rsidRPr="000469D6" w:rsidRDefault="00F01B89" w:rsidP="00F01B89">
      <w:pPr>
        <w:tabs>
          <w:tab w:val="left" w:pos="4678"/>
        </w:tabs>
        <w:ind w:firstLine="708"/>
        <w:jc w:val="both"/>
        <w:rPr>
          <w:sz w:val="28"/>
          <w:szCs w:val="28"/>
        </w:rPr>
      </w:pPr>
      <w:r>
        <w:rPr>
          <w:sz w:val="28"/>
          <w:szCs w:val="28"/>
        </w:rPr>
        <w:t>2. А</w:t>
      </w:r>
      <w:r w:rsidRPr="000469D6">
        <w:rPr>
          <w:sz w:val="28"/>
          <w:szCs w:val="28"/>
        </w:rPr>
        <w:t>нализ организационной структуры предприятия, формирование предложений по функционально-структурной реорганизации с выделением специальной группы управлени</w:t>
      </w:r>
      <w:r>
        <w:rPr>
          <w:sz w:val="28"/>
          <w:szCs w:val="28"/>
        </w:rPr>
        <w:t>я экономической эффективностью;</w:t>
      </w:r>
    </w:p>
    <w:p w14:paraId="4F7FE465" w14:textId="77777777" w:rsidR="00F01B89" w:rsidRPr="000469D6" w:rsidRDefault="00F01B89" w:rsidP="00F01B89">
      <w:pPr>
        <w:tabs>
          <w:tab w:val="left" w:pos="4678"/>
        </w:tabs>
        <w:ind w:firstLine="708"/>
        <w:jc w:val="both"/>
        <w:rPr>
          <w:sz w:val="28"/>
          <w:szCs w:val="28"/>
        </w:rPr>
      </w:pPr>
      <w:r>
        <w:rPr>
          <w:sz w:val="28"/>
          <w:szCs w:val="28"/>
        </w:rPr>
        <w:t>3. Р</w:t>
      </w:r>
      <w:r w:rsidRPr="000469D6">
        <w:rPr>
          <w:sz w:val="28"/>
          <w:szCs w:val="28"/>
        </w:rPr>
        <w:t>ассмотрение и согласование предложений по структурной реорганизации вышестоящими руководителя</w:t>
      </w:r>
      <w:r>
        <w:rPr>
          <w:sz w:val="28"/>
          <w:szCs w:val="28"/>
        </w:rPr>
        <w:t>ми и утверждение реорганизации;</w:t>
      </w:r>
    </w:p>
    <w:p w14:paraId="7869DEE0" w14:textId="77777777" w:rsidR="00F01B89" w:rsidRPr="000469D6" w:rsidRDefault="00F01B89" w:rsidP="00F01B89">
      <w:pPr>
        <w:tabs>
          <w:tab w:val="left" w:pos="4678"/>
        </w:tabs>
        <w:ind w:firstLine="708"/>
        <w:jc w:val="both"/>
        <w:rPr>
          <w:sz w:val="28"/>
          <w:szCs w:val="28"/>
        </w:rPr>
      </w:pPr>
      <w:r>
        <w:rPr>
          <w:sz w:val="28"/>
          <w:szCs w:val="28"/>
        </w:rPr>
        <w:t>4.  П</w:t>
      </w:r>
      <w:r w:rsidRPr="000469D6">
        <w:rPr>
          <w:sz w:val="28"/>
          <w:szCs w:val="28"/>
        </w:rPr>
        <w:t>роведении реорганиза</w:t>
      </w:r>
      <w:r>
        <w:rPr>
          <w:sz w:val="28"/>
          <w:szCs w:val="28"/>
        </w:rPr>
        <w:t>ции (реструктуризации бизнеса);</w:t>
      </w:r>
    </w:p>
    <w:p w14:paraId="10983A5A" w14:textId="77777777" w:rsidR="00F01B89" w:rsidRDefault="00F01B89" w:rsidP="00F01B89">
      <w:pPr>
        <w:tabs>
          <w:tab w:val="left" w:pos="4678"/>
        </w:tabs>
        <w:ind w:firstLine="708"/>
        <w:jc w:val="both"/>
        <w:rPr>
          <w:sz w:val="28"/>
          <w:szCs w:val="28"/>
        </w:rPr>
      </w:pPr>
      <w:r>
        <w:rPr>
          <w:sz w:val="28"/>
          <w:szCs w:val="28"/>
        </w:rPr>
        <w:t>5. П</w:t>
      </w:r>
      <w:r w:rsidRPr="000469D6">
        <w:rPr>
          <w:sz w:val="28"/>
          <w:szCs w:val="28"/>
        </w:rPr>
        <w:t>одготовка, уточнение и согласование подходов к управлению экономической эффективностью операционной деятельности новым подразделением – группой управления экономической эффективностью; при проведении анализа существующего процесса управления операционной деятельностью необходимо выявить наиболее слабые его стороны и разработа</w:t>
      </w:r>
      <w:r>
        <w:rPr>
          <w:sz w:val="28"/>
          <w:szCs w:val="28"/>
        </w:rPr>
        <w:t>ть предложения по их устранению.</w:t>
      </w:r>
    </w:p>
    <w:p w14:paraId="5BAFB692" w14:textId="77777777" w:rsidR="00C719F5" w:rsidRPr="00F01B89" w:rsidRDefault="00C719F5" w:rsidP="003B3BE7">
      <w:pPr>
        <w:tabs>
          <w:tab w:val="left" w:pos="1134"/>
        </w:tabs>
        <w:spacing w:line="276" w:lineRule="auto"/>
        <w:ind w:firstLine="680"/>
        <w:jc w:val="both"/>
        <w:rPr>
          <w:sz w:val="28"/>
          <w:szCs w:val="28"/>
        </w:rPr>
      </w:pPr>
    </w:p>
    <w:p w14:paraId="3342509E" w14:textId="3B0355A7" w:rsidR="003B3BE7" w:rsidRDefault="003B3BE7" w:rsidP="003B3BE7">
      <w:pPr>
        <w:tabs>
          <w:tab w:val="left" w:pos="1134"/>
        </w:tabs>
        <w:spacing w:line="276" w:lineRule="auto"/>
        <w:ind w:firstLine="680"/>
        <w:jc w:val="both"/>
        <w:rPr>
          <w:sz w:val="28"/>
          <w:szCs w:val="28"/>
        </w:rPr>
      </w:pPr>
    </w:p>
    <w:p w14:paraId="09F9C209" w14:textId="4D9588FE" w:rsidR="00F01B89" w:rsidRDefault="00F01B89" w:rsidP="003B3BE7">
      <w:pPr>
        <w:tabs>
          <w:tab w:val="left" w:pos="1134"/>
        </w:tabs>
        <w:spacing w:line="276" w:lineRule="auto"/>
        <w:ind w:firstLine="680"/>
        <w:jc w:val="both"/>
        <w:rPr>
          <w:sz w:val="28"/>
          <w:szCs w:val="28"/>
        </w:rPr>
      </w:pPr>
    </w:p>
    <w:p w14:paraId="7CB55B2D" w14:textId="5477C48F" w:rsidR="00F01B89" w:rsidRDefault="00F01B89" w:rsidP="003B3BE7">
      <w:pPr>
        <w:tabs>
          <w:tab w:val="left" w:pos="1134"/>
        </w:tabs>
        <w:spacing w:line="276" w:lineRule="auto"/>
        <w:ind w:firstLine="680"/>
        <w:jc w:val="both"/>
        <w:rPr>
          <w:sz w:val="28"/>
          <w:szCs w:val="28"/>
        </w:rPr>
      </w:pPr>
    </w:p>
    <w:p w14:paraId="11BC7B7E" w14:textId="06DA4693" w:rsidR="00F01B89" w:rsidRDefault="00F01B89" w:rsidP="003B3BE7">
      <w:pPr>
        <w:tabs>
          <w:tab w:val="left" w:pos="1134"/>
        </w:tabs>
        <w:spacing w:line="276" w:lineRule="auto"/>
        <w:ind w:firstLine="680"/>
        <w:jc w:val="both"/>
        <w:rPr>
          <w:sz w:val="28"/>
          <w:szCs w:val="28"/>
        </w:rPr>
      </w:pPr>
    </w:p>
    <w:p w14:paraId="7ED238E9" w14:textId="61DE35BC" w:rsidR="00F01B89" w:rsidRDefault="00F01B89" w:rsidP="003B3BE7">
      <w:pPr>
        <w:tabs>
          <w:tab w:val="left" w:pos="1134"/>
        </w:tabs>
        <w:spacing w:line="276" w:lineRule="auto"/>
        <w:ind w:firstLine="680"/>
        <w:jc w:val="both"/>
        <w:rPr>
          <w:sz w:val="28"/>
          <w:szCs w:val="28"/>
        </w:rPr>
      </w:pPr>
    </w:p>
    <w:p w14:paraId="24C04723" w14:textId="77777777" w:rsidR="00F01B89" w:rsidRPr="005825C9" w:rsidRDefault="00F01B89" w:rsidP="003B3BE7">
      <w:pPr>
        <w:tabs>
          <w:tab w:val="left" w:pos="1134"/>
        </w:tabs>
        <w:spacing w:line="276" w:lineRule="auto"/>
        <w:ind w:firstLine="680"/>
        <w:jc w:val="both"/>
        <w:rPr>
          <w:sz w:val="28"/>
          <w:szCs w:val="28"/>
        </w:rPr>
      </w:pPr>
    </w:p>
    <w:p w14:paraId="42B9EE48" w14:textId="1FE0BB6E" w:rsidR="003B3BE7" w:rsidRPr="009A050A" w:rsidRDefault="003B3BE7" w:rsidP="003B3BE7">
      <w:pPr>
        <w:widowControl w:val="0"/>
        <w:tabs>
          <w:tab w:val="left" w:pos="1134"/>
        </w:tabs>
        <w:ind w:firstLine="680"/>
        <w:jc w:val="both"/>
        <w:rPr>
          <w:sz w:val="28"/>
          <w:szCs w:val="28"/>
        </w:rPr>
      </w:pPr>
      <w:r w:rsidRPr="00E73E80">
        <w:rPr>
          <w:b/>
          <w:sz w:val="28"/>
          <w:szCs w:val="28"/>
        </w:rPr>
        <w:lastRenderedPageBreak/>
        <w:t>Зада</w:t>
      </w:r>
      <w:r>
        <w:rPr>
          <w:b/>
          <w:sz w:val="28"/>
          <w:szCs w:val="28"/>
        </w:rPr>
        <w:t>ча</w:t>
      </w:r>
      <w:r w:rsidRPr="00E73E80">
        <w:rPr>
          <w:b/>
          <w:sz w:val="28"/>
          <w:szCs w:val="28"/>
        </w:rPr>
        <w:t xml:space="preserve"> </w:t>
      </w:r>
      <w:r>
        <w:rPr>
          <w:b/>
          <w:sz w:val="28"/>
          <w:szCs w:val="28"/>
        </w:rPr>
        <w:t>4</w:t>
      </w:r>
      <w:r w:rsidRPr="00E73E80">
        <w:rPr>
          <w:b/>
          <w:sz w:val="28"/>
          <w:szCs w:val="28"/>
        </w:rPr>
        <w:t>.</w:t>
      </w:r>
      <w:r w:rsidRPr="00E73E80">
        <w:rPr>
          <w:sz w:val="28"/>
          <w:szCs w:val="28"/>
        </w:rPr>
        <w:t xml:space="preserve"> Исходя из предложенных условий (принципы и условия осуществления депозитных операций, ключевые положения депозитной политики) построить экономическую </w:t>
      </w:r>
      <w:r w:rsidRPr="009A050A">
        <w:rPr>
          <w:sz w:val="28"/>
          <w:szCs w:val="28"/>
        </w:rPr>
        <w:t>модель формирования ресурсной базы банка.</w:t>
      </w:r>
    </w:p>
    <w:p w14:paraId="71F71712" w14:textId="77777777" w:rsidR="003B3BE7" w:rsidRPr="00E73E80" w:rsidRDefault="003B3BE7" w:rsidP="003B3BE7">
      <w:pPr>
        <w:ind w:firstLine="709"/>
        <w:jc w:val="both"/>
        <w:rPr>
          <w:sz w:val="28"/>
          <w:szCs w:val="28"/>
        </w:rPr>
      </w:pPr>
      <w:r w:rsidRPr="00E73E80">
        <w:rPr>
          <w:sz w:val="28"/>
          <w:szCs w:val="28"/>
        </w:rPr>
        <w:t>Возможные варианты формы представления модели: графическая (блок-схема, графики); логическая; функциональная; дескриптивная (оценочно-описательная); логико-описательная (вербальная информационная модель).</w:t>
      </w:r>
    </w:p>
    <w:p w14:paraId="2F3D025B" w14:textId="77777777" w:rsidR="003B3BE7" w:rsidRPr="00E73E80" w:rsidRDefault="003B3BE7" w:rsidP="003B3BE7">
      <w:pPr>
        <w:spacing w:before="120"/>
        <w:ind w:right="450"/>
        <w:jc w:val="both"/>
        <w:rPr>
          <w:b/>
          <w:i/>
          <w:sz w:val="28"/>
        </w:rPr>
      </w:pPr>
      <w:r w:rsidRPr="00E73E80">
        <w:rPr>
          <w:b/>
          <w:i/>
          <w:sz w:val="28"/>
        </w:rPr>
        <w:t xml:space="preserve">Условия привлечение денежных ресурсов: </w:t>
      </w:r>
    </w:p>
    <w:p w14:paraId="5290176D" w14:textId="77777777" w:rsidR="003B3BE7" w:rsidRPr="00E73E80" w:rsidRDefault="003B3BE7" w:rsidP="003B3BE7">
      <w:pPr>
        <w:pStyle w:val="a3"/>
        <w:numPr>
          <w:ilvl w:val="0"/>
          <w:numId w:val="3"/>
        </w:numPr>
        <w:spacing w:line="259" w:lineRule="auto"/>
        <w:jc w:val="both"/>
        <w:rPr>
          <w:sz w:val="28"/>
        </w:rPr>
      </w:pPr>
      <w:r w:rsidRPr="00E73E80">
        <w:rPr>
          <w:sz w:val="28"/>
        </w:rPr>
        <w:t>использование банковских продуктов и услуг, которые пользуются спросом и могут принести банку максимальную прибыль;</w:t>
      </w:r>
    </w:p>
    <w:p w14:paraId="7CDF9D8A" w14:textId="77777777" w:rsidR="003B3BE7" w:rsidRPr="00E73E80" w:rsidRDefault="003B3BE7" w:rsidP="003B3BE7">
      <w:pPr>
        <w:pStyle w:val="a6"/>
        <w:numPr>
          <w:ilvl w:val="0"/>
          <w:numId w:val="3"/>
        </w:numPr>
        <w:spacing w:before="120" w:beforeAutospacing="0" w:after="120" w:afterAutospacing="0"/>
        <w:jc w:val="both"/>
        <w:rPr>
          <w:sz w:val="28"/>
        </w:rPr>
      </w:pPr>
      <w:r w:rsidRPr="00E73E80">
        <w:rPr>
          <w:sz w:val="28"/>
        </w:rPr>
        <w:t>снижение издержек, обеспечение ликвидности и прибыльности деятельности банка;</w:t>
      </w:r>
    </w:p>
    <w:p w14:paraId="29ABBB62" w14:textId="77777777" w:rsidR="003B3BE7" w:rsidRPr="00E73E80" w:rsidRDefault="003B3BE7" w:rsidP="003B3BE7">
      <w:pPr>
        <w:pStyle w:val="a6"/>
        <w:numPr>
          <w:ilvl w:val="0"/>
          <w:numId w:val="3"/>
        </w:numPr>
        <w:spacing w:before="120" w:beforeAutospacing="0" w:after="120" w:afterAutospacing="0"/>
        <w:jc w:val="both"/>
        <w:rPr>
          <w:sz w:val="28"/>
        </w:rPr>
      </w:pPr>
      <w:r w:rsidRPr="00E73E80">
        <w:rPr>
          <w:sz w:val="28"/>
        </w:rPr>
        <w:t>реальность оценки рыночной ситуации, своевременная кор</w:t>
      </w:r>
      <w:r w:rsidRPr="00E73E80">
        <w:rPr>
          <w:sz w:val="28"/>
        </w:rPr>
        <w:softHyphen/>
        <w:t xml:space="preserve">рекция депозитной и кредитной политик; </w:t>
      </w:r>
    </w:p>
    <w:p w14:paraId="3C406902" w14:textId="77777777" w:rsidR="003B3BE7" w:rsidRPr="00E73E80" w:rsidRDefault="003B3BE7" w:rsidP="003B3BE7">
      <w:pPr>
        <w:pStyle w:val="a6"/>
        <w:numPr>
          <w:ilvl w:val="0"/>
          <w:numId w:val="3"/>
        </w:numPr>
        <w:spacing w:before="120" w:beforeAutospacing="0" w:after="120" w:afterAutospacing="0"/>
        <w:jc w:val="both"/>
        <w:rPr>
          <w:sz w:val="28"/>
        </w:rPr>
      </w:pPr>
      <w:r w:rsidRPr="00E73E80">
        <w:rPr>
          <w:sz w:val="28"/>
        </w:rPr>
        <w:t>использование современной информационной базы и инновационных технологий (цифровые технологии, сети, автоматизированные системы и др.).</w:t>
      </w:r>
    </w:p>
    <w:p w14:paraId="0E09335E" w14:textId="77777777" w:rsidR="003B3BE7" w:rsidRPr="00E73E80" w:rsidRDefault="003B3BE7" w:rsidP="003B3BE7">
      <w:pPr>
        <w:spacing w:before="120" w:after="120"/>
        <w:jc w:val="both"/>
        <w:rPr>
          <w:b/>
          <w:i/>
          <w:sz w:val="28"/>
        </w:rPr>
      </w:pPr>
      <w:r w:rsidRPr="00E73E80">
        <w:rPr>
          <w:b/>
          <w:i/>
          <w:sz w:val="28"/>
        </w:rPr>
        <w:t xml:space="preserve">Принципы привлечения денежных ресурсов: </w:t>
      </w:r>
    </w:p>
    <w:p w14:paraId="1204551F" w14:textId="77777777" w:rsidR="003B3BE7" w:rsidRPr="00E73E80" w:rsidRDefault="003B3BE7" w:rsidP="003B3BE7">
      <w:pPr>
        <w:pStyle w:val="a3"/>
        <w:numPr>
          <w:ilvl w:val="0"/>
          <w:numId w:val="3"/>
        </w:numPr>
        <w:spacing w:before="120" w:after="120"/>
        <w:jc w:val="both"/>
        <w:rPr>
          <w:sz w:val="28"/>
        </w:rPr>
      </w:pPr>
      <w:r w:rsidRPr="00E73E80">
        <w:rPr>
          <w:sz w:val="28"/>
        </w:rPr>
        <w:t>два основных источника привлеченных ресурсов: средства физических лиц и средства юридических лиц;</w:t>
      </w:r>
    </w:p>
    <w:p w14:paraId="4B425409" w14:textId="77777777" w:rsidR="003B3BE7" w:rsidRPr="00E73E80" w:rsidRDefault="003B3BE7" w:rsidP="003B3BE7">
      <w:pPr>
        <w:pStyle w:val="a3"/>
        <w:numPr>
          <w:ilvl w:val="0"/>
          <w:numId w:val="3"/>
        </w:numPr>
        <w:spacing w:before="120" w:after="120"/>
        <w:jc w:val="both"/>
        <w:rPr>
          <w:sz w:val="28"/>
        </w:rPr>
      </w:pPr>
      <w:r w:rsidRPr="00E73E80">
        <w:rPr>
          <w:sz w:val="28"/>
        </w:rPr>
        <w:t>привлеченные ресурсы формируются путем проведения депозитных, ссудных, расчетных операций и операций с ценными бумагами;</w:t>
      </w:r>
    </w:p>
    <w:p w14:paraId="4A9ECBF0" w14:textId="77777777" w:rsidR="003B3BE7" w:rsidRPr="00E73E80" w:rsidRDefault="003B3BE7" w:rsidP="003B3BE7">
      <w:pPr>
        <w:pStyle w:val="a3"/>
        <w:numPr>
          <w:ilvl w:val="0"/>
          <w:numId w:val="3"/>
        </w:numPr>
        <w:spacing w:before="120" w:after="120"/>
        <w:jc w:val="both"/>
        <w:rPr>
          <w:sz w:val="28"/>
        </w:rPr>
      </w:pPr>
      <w:r w:rsidRPr="00E73E80">
        <w:rPr>
          <w:sz w:val="28"/>
        </w:rPr>
        <w:t>цель привлечения ресурсов, - их дальнейшее использование для проведения активных операций.</w:t>
      </w:r>
    </w:p>
    <w:p w14:paraId="49029AE4" w14:textId="77777777" w:rsidR="003B3BE7" w:rsidRPr="00E73E80" w:rsidRDefault="003B3BE7" w:rsidP="003B3BE7">
      <w:pPr>
        <w:spacing w:before="120" w:after="120"/>
        <w:jc w:val="both"/>
        <w:rPr>
          <w:sz w:val="28"/>
        </w:rPr>
      </w:pPr>
      <w:r w:rsidRPr="00E73E80">
        <w:rPr>
          <w:b/>
          <w:i/>
          <w:sz w:val="28"/>
        </w:rPr>
        <w:t>Ключевые положения депозитной политики:</w:t>
      </w:r>
    </w:p>
    <w:p w14:paraId="03FCFB77" w14:textId="77777777" w:rsidR="003B3BE7" w:rsidRPr="00E73E80" w:rsidRDefault="003B3BE7" w:rsidP="003B3BE7">
      <w:pPr>
        <w:pStyle w:val="a6"/>
        <w:numPr>
          <w:ilvl w:val="0"/>
          <w:numId w:val="2"/>
        </w:numPr>
        <w:spacing w:before="0" w:beforeAutospacing="0" w:after="0" w:afterAutospacing="0"/>
        <w:jc w:val="both"/>
        <w:rPr>
          <w:sz w:val="28"/>
        </w:rPr>
      </w:pPr>
      <w:r w:rsidRPr="00E73E80">
        <w:rPr>
          <w:sz w:val="28"/>
        </w:rPr>
        <w:t>методы стимулирования клиентов (кредиторов) банка (ценовые и неценовые);</w:t>
      </w:r>
    </w:p>
    <w:p w14:paraId="1B47C785" w14:textId="77777777" w:rsidR="003B3BE7" w:rsidRPr="00E73E80" w:rsidRDefault="003B3BE7" w:rsidP="003B3BE7">
      <w:pPr>
        <w:pStyle w:val="a6"/>
        <w:numPr>
          <w:ilvl w:val="0"/>
          <w:numId w:val="2"/>
        </w:numPr>
        <w:spacing w:before="0" w:beforeAutospacing="0" w:after="0" w:afterAutospacing="0"/>
        <w:jc w:val="both"/>
        <w:rPr>
          <w:sz w:val="28"/>
        </w:rPr>
      </w:pPr>
      <w:r w:rsidRPr="00E73E80">
        <w:rPr>
          <w:sz w:val="28"/>
        </w:rPr>
        <w:t>методы и инструменты обеспечения качества депозитов;</w:t>
      </w:r>
    </w:p>
    <w:p w14:paraId="2BBDF124" w14:textId="77777777" w:rsidR="003B3BE7" w:rsidRPr="00E73E80" w:rsidRDefault="003B3BE7" w:rsidP="003B3BE7">
      <w:pPr>
        <w:pStyle w:val="a6"/>
        <w:numPr>
          <w:ilvl w:val="0"/>
          <w:numId w:val="2"/>
        </w:numPr>
        <w:spacing w:before="0" w:beforeAutospacing="0" w:after="0" w:afterAutospacing="0"/>
        <w:jc w:val="both"/>
        <w:rPr>
          <w:sz w:val="28"/>
        </w:rPr>
      </w:pPr>
      <w:r w:rsidRPr="00E73E80">
        <w:rPr>
          <w:sz w:val="28"/>
        </w:rPr>
        <w:t>введение новых видов депозитных продуктов и услуг.</w:t>
      </w:r>
    </w:p>
    <w:p w14:paraId="30D8B1EB" w14:textId="77777777" w:rsidR="003B3BE7" w:rsidRPr="00E73E80" w:rsidRDefault="003B3BE7" w:rsidP="003B3BE7">
      <w:pPr>
        <w:pStyle w:val="a6"/>
        <w:spacing w:before="120" w:beforeAutospacing="0" w:after="120" w:afterAutospacing="0"/>
        <w:jc w:val="both"/>
        <w:rPr>
          <w:sz w:val="28"/>
        </w:rPr>
      </w:pPr>
      <w:r w:rsidRPr="00E73E80">
        <w:rPr>
          <w:b/>
          <w:sz w:val="28"/>
        </w:rPr>
        <w:t xml:space="preserve">Дополнительная информация </w:t>
      </w:r>
      <w:r w:rsidRPr="00E73E80">
        <w:rPr>
          <w:sz w:val="28"/>
        </w:rPr>
        <w:t>(</w:t>
      </w:r>
      <w:r w:rsidRPr="00E73E80">
        <w:rPr>
          <w:i/>
          <w:sz w:val="28"/>
        </w:rPr>
        <w:t>справочно</w:t>
      </w:r>
      <w:r w:rsidRPr="00E73E80">
        <w:rPr>
          <w:sz w:val="28"/>
        </w:rPr>
        <w:t>).</w:t>
      </w:r>
    </w:p>
    <w:p w14:paraId="042E54EC" w14:textId="77777777" w:rsidR="003B3BE7" w:rsidRPr="00E73E80" w:rsidRDefault="003B3BE7" w:rsidP="003B3BE7">
      <w:pPr>
        <w:pStyle w:val="a6"/>
        <w:spacing w:before="0" w:beforeAutospacing="0" w:after="0" w:afterAutospacing="0"/>
        <w:ind w:firstLine="709"/>
        <w:jc w:val="both"/>
        <w:rPr>
          <w:sz w:val="28"/>
        </w:rPr>
      </w:pPr>
      <w:r w:rsidRPr="00E73E80">
        <w:rPr>
          <w:sz w:val="28"/>
        </w:rPr>
        <w:t>Важнейшим методом стимулирования привлечения депозитных средств является ценовой, т.е. устанавливаемые ставки по депозитам.</w:t>
      </w:r>
    </w:p>
    <w:p w14:paraId="007C9F54" w14:textId="77777777" w:rsidR="003B3BE7" w:rsidRPr="00E73E80" w:rsidRDefault="003B3BE7" w:rsidP="003B3BE7">
      <w:pPr>
        <w:pStyle w:val="a6"/>
        <w:spacing w:before="0" w:beforeAutospacing="0" w:after="0" w:afterAutospacing="0"/>
        <w:ind w:firstLine="709"/>
        <w:jc w:val="both"/>
        <w:rPr>
          <w:sz w:val="28"/>
        </w:rPr>
      </w:pPr>
      <w:r w:rsidRPr="00E73E80">
        <w:rPr>
          <w:sz w:val="28"/>
        </w:rPr>
        <w:t>В настоящее время процентные ставки по депозитам складываются с учетом рыночных факторов, но каждый банк корректирует эти проценты с учетом своих конкретных условий, избранной стратегии, проводимой депозитной политики.</w:t>
      </w:r>
    </w:p>
    <w:p w14:paraId="47F918D4" w14:textId="77777777" w:rsidR="003B3BE7" w:rsidRPr="00E73E80" w:rsidRDefault="003B3BE7" w:rsidP="003B3BE7">
      <w:pPr>
        <w:pStyle w:val="a6"/>
        <w:spacing w:before="0" w:beforeAutospacing="0" w:after="0" w:afterAutospacing="0"/>
        <w:ind w:firstLine="709"/>
        <w:jc w:val="both"/>
        <w:rPr>
          <w:sz w:val="28"/>
        </w:rPr>
      </w:pPr>
      <w:r w:rsidRPr="00E73E80">
        <w:rPr>
          <w:sz w:val="28"/>
        </w:rPr>
        <w:t xml:space="preserve">Если банк нуждается в дополнительных ресурсах, чтобы удовлетворить спрос на ссуды, он может повысить процентные ставки по депозитам, чтобы привлечь необходимые средства. При этом следует учитывать, что процентная </w:t>
      </w:r>
      <w:r w:rsidRPr="00E73E80">
        <w:rPr>
          <w:sz w:val="28"/>
        </w:rPr>
        <w:lastRenderedPageBreak/>
        <w:t>ставка по депозитам в значительной мере зависит от дохода, который банк может получить.</w:t>
      </w:r>
    </w:p>
    <w:p w14:paraId="3A3A6983" w14:textId="7F75DB62" w:rsidR="003B3BE7" w:rsidRDefault="003B3BE7" w:rsidP="003B3BE7">
      <w:pPr>
        <w:pStyle w:val="a6"/>
        <w:spacing w:before="0" w:beforeAutospacing="0" w:after="0" w:afterAutospacing="0"/>
        <w:ind w:firstLine="709"/>
        <w:jc w:val="both"/>
        <w:rPr>
          <w:sz w:val="28"/>
        </w:rPr>
      </w:pPr>
      <w:r w:rsidRPr="00E73E80">
        <w:rPr>
          <w:sz w:val="28"/>
        </w:rPr>
        <w:t>Помимо процентных ставок, т.е. ценового метода, существуют неценовые методы, способствующие привлечению и удержанию депозитных вкладов: предоставление комплекса (пакета) услуг; высокое качество (профессионализм, скорость проведения операций, персонификация обслуживания, культура обслуживания клиентов; массированная и сегментированная реклама.</w:t>
      </w:r>
    </w:p>
    <w:p w14:paraId="676E3E5A" w14:textId="10CD6A5C" w:rsidR="00F01B89" w:rsidRDefault="00F01B89" w:rsidP="003B3BE7">
      <w:pPr>
        <w:pStyle w:val="a6"/>
        <w:spacing w:before="0" w:beforeAutospacing="0" w:after="0" w:afterAutospacing="0"/>
        <w:ind w:firstLine="709"/>
        <w:jc w:val="both"/>
        <w:rPr>
          <w:sz w:val="28"/>
          <w:lang w:val="en-US"/>
        </w:rPr>
      </w:pPr>
      <w:r>
        <w:rPr>
          <w:sz w:val="28"/>
        </w:rPr>
        <w:t>Решение</w:t>
      </w:r>
      <w:r>
        <w:rPr>
          <w:sz w:val="28"/>
          <w:lang w:val="en-US"/>
        </w:rPr>
        <w:t>:</w:t>
      </w:r>
    </w:p>
    <w:p w14:paraId="5FCE03F4" w14:textId="0FF9F360" w:rsidR="00F01B89" w:rsidRDefault="00F01B89" w:rsidP="00F01B89">
      <w:pPr>
        <w:widowControl w:val="0"/>
        <w:tabs>
          <w:tab w:val="left" w:pos="1134"/>
        </w:tabs>
        <w:ind w:firstLine="680"/>
        <w:jc w:val="both"/>
        <w:rPr>
          <w:sz w:val="28"/>
          <w:szCs w:val="28"/>
        </w:rPr>
      </w:pPr>
      <w:r>
        <w:rPr>
          <w:sz w:val="28"/>
        </w:rPr>
        <w:t xml:space="preserve">Построим экономическую модель формирования </w:t>
      </w:r>
      <w:r>
        <w:rPr>
          <w:sz w:val="28"/>
          <w:szCs w:val="28"/>
        </w:rPr>
        <w:t>ресурсной базы банка</w:t>
      </w:r>
      <w:r w:rsidRPr="00F01B89">
        <w:rPr>
          <w:sz w:val="28"/>
          <w:szCs w:val="28"/>
        </w:rPr>
        <w:t>:</w:t>
      </w:r>
    </w:p>
    <w:p w14:paraId="6C2D6447" w14:textId="77777777" w:rsidR="00F01B89" w:rsidRPr="00001050" w:rsidRDefault="00F01B89" w:rsidP="00F01B89">
      <w:pPr>
        <w:ind w:firstLine="709"/>
        <w:jc w:val="both"/>
        <w:rPr>
          <w:sz w:val="28"/>
          <w:szCs w:val="28"/>
        </w:rPr>
      </w:pPr>
      <w:r w:rsidRPr="00001050">
        <w:rPr>
          <w:sz w:val="28"/>
          <w:szCs w:val="28"/>
        </w:rPr>
        <w:t>За прошедшие годы индустрия банковских и финансовых услуг претерпела кардинальные изменения. Примерно полвека назад потребители регулярно заходили в отделение банка, чтобы снять или перевести средства, получить информацию о финансовых продуктах или решить свои проблемы. Эволюция банкоматов привела к первой трансформации в банковской отрасли, сделав возможными 24-часовые финансовые операции. Появление интернета привело к дальнейшему развитию отрасли, открыв многочисленные каналы взаимодействия между потребителями и их банками. В то же время физический аспект банковского дела начал сдавать позиции, и такие банки, как Santander, сократили свою филиальную сеть почти на пятую часть.</w:t>
      </w:r>
    </w:p>
    <w:p w14:paraId="246CF154" w14:textId="77777777" w:rsidR="00F01B89" w:rsidRPr="00001050" w:rsidRDefault="00F01B89" w:rsidP="00F01B89">
      <w:pPr>
        <w:ind w:firstLine="709"/>
        <w:jc w:val="both"/>
        <w:rPr>
          <w:sz w:val="28"/>
          <w:szCs w:val="28"/>
        </w:rPr>
      </w:pPr>
      <w:r w:rsidRPr="00001050">
        <w:rPr>
          <w:sz w:val="28"/>
          <w:szCs w:val="28"/>
        </w:rPr>
        <w:t>Уровень проникновения финтех-услуг растет быстрее, чем ожидалось. Фактический глобальный уровень проникновения (64%) в 2019 году превышает на 12 пунктов прогноз будущего принятия (52%), заявленный нами в исследовании 2017 года.</w:t>
      </w:r>
    </w:p>
    <w:p w14:paraId="0272EEF9" w14:textId="77777777" w:rsidR="00F01B89" w:rsidRPr="00001050" w:rsidRDefault="00F01B89" w:rsidP="00F01B89">
      <w:pPr>
        <w:ind w:firstLine="709"/>
        <w:jc w:val="both"/>
        <w:rPr>
          <w:sz w:val="28"/>
          <w:szCs w:val="28"/>
        </w:rPr>
      </w:pPr>
      <w:r w:rsidRPr="00001050">
        <w:rPr>
          <w:sz w:val="28"/>
          <w:szCs w:val="28"/>
        </w:rPr>
        <w:t>За прошедшие два года общероссийский показатель, так же как и мировой, вырос почти в два раза и составил 82% в 2019 году. В 2017 году индекс замерялся в российских городах-миллионниках, включая Москву и СанктПетербург.</w:t>
      </w:r>
    </w:p>
    <w:p w14:paraId="0E467690" w14:textId="77777777" w:rsidR="00F01B89" w:rsidRPr="00001050" w:rsidRDefault="00F01B89" w:rsidP="00F01B89">
      <w:pPr>
        <w:ind w:firstLine="709"/>
        <w:jc w:val="both"/>
        <w:rPr>
          <w:sz w:val="28"/>
          <w:szCs w:val="28"/>
        </w:rPr>
      </w:pPr>
      <w:r w:rsidRPr="00001050">
        <w:rPr>
          <w:sz w:val="28"/>
          <w:szCs w:val="28"/>
        </w:rPr>
        <w:t>За интенсивным ростом уровня проникновения услуг финтех стоит агрессивная конкурентная борьба со стороны финансовых учреждений.</w:t>
      </w:r>
    </w:p>
    <w:p w14:paraId="403F3D52" w14:textId="77777777" w:rsidR="00F01B89" w:rsidRPr="00001050" w:rsidRDefault="00F01B89" w:rsidP="00F01B89">
      <w:pPr>
        <w:ind w:firstLine="709"/>
        <w:jc w:val="center"/>
        <w:rPr>
          <w:sz w:val="28"/>
          <w:szCs w:val="28"/>
          <w:lang w:val="en-US"/>
        </w:rPr>
      </w:pPr>
      <w:r w:rsidRPr="00001050">
        <w:rPr>
          <w:noProof/>
          <w:sz w:val="28"/>
          <w:szCs w:val="28"/>
        </w:rPr>
        <w:lastRenderedPageBreak/>
        <w:drawing>
          <wp:inline distT="0" distB="0" distL="0" distR="0" wp14:anchorId="5F26BC17" wp14:editId="6C0AA24F">
            <wp:extent cx="3552825" cy="3676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2825" cy="3676650"/>
                    </a:xfrm>
                    <a:prstGeom prst="rect">
                      <a:avLst/>
                    </a:prstGeom>
                    <a:noFill/>
                    <a:ln>
                      <a:noFill/>
                    </a:ln>
                  </pic:spPr>
                </pic:pic>
              </a:graphicData>
            </a:graphic>
          </wp:inline>
        </w:drawing>
      </w:r>
    </w:p>
    <w:p w14:paraId="55203673" w14:textId="77777777" w:rsidR="00F01B89" w:rsidRPr="00001050" w:rsidRDefault="00F01B89" w:rsidP="00F01B89">
      <w:pPr>
        <w:ind w:firstLine="709"/>
        <w:jc w:val="center"/>
        <w:rPr>
          <w:sz w:val="28"/>
          <w:szCs w:val="28"/>
        </w:rPr>
      </w:pPr>
      <w:r w:rsidRPr="00001050">
        <w:rPr>
          <w:sz w:val="28"/>
          <w:szCs w:val="28"/>
        </w:rPr>
        <w:t>Рисунок 1 - Сравнение уровня проникновения финтех на семи рынках в период с 2015 по 2019 годы</w:t>
      </w:r>
    </w:p>
    <w:p w14:paraId="4FD5B471" w14:textId="77777777" w:rsidR="00F01B89" w:rsidRPr="00001050" w:rsidRDefault="00F01B89" w:rsidP="00F01B89">
      <w:pPr>
        <w:ind w:firstLine="709"/>
        <w:jc w:val="both"/>
        <w:rPr>
          <w:sz w:val="28"/>
          <w:szCs w:val="28"/>
        </w:rPr>
      </w:pPr>
      <w:r w:rsidRPr="00001050">
        <w:rPr>
          <w:sz w:val="28"/>
          <w:szCs w:val="28"/>
        </w:rPr>
        <w:t>Только 4% потребителей по всему миру не знают об услугах финтех в области денежных переводов и платежей. В России таких потребителей вообще не осталось, осведомленность об этих услугах достигла абсолюта — 100%.</w:t>
      </w:r>
    </w:p>
    <w:p w14:paraId="547824A6" w14:textId="77777777" w:rsidR="00F01B89" w:rsidRPr="00001050" w:rsidRDefault="00F01B89" w:rsidP="00F01B89">
      <w:pPr>
        <w:ind w:firstLine="709"/>
        <w:jc w:val="both"/>
        <w:rPr>
          <w:sz w:val="28"/>
          <w:szCs w:val="28"/>
        </w:rPr>
      </w:pPr>
      <w:r w:rsidRPr="00001050">
        <w:rPr>
          <w:sz w:val="28"/>
          <w:szCs w:val="28"/>
        </w:rPr>
        <w:t>Три из четырех потребителей в мире пользуются услугой финтех для совершения денежных переводов и платежей. В России эти услуги еще популярнее — 90% участников опроса пользовались сервисами перевода денег или оплаты услуг хотя бы раз (75% — в течение последних шести месяцев).</w:t>
      </w:r>
    </w:p>
    <w:p w14:paraId="2022C6BA" w14:textId="77777777" w:rsidR="00F01B89" w:rsidRPr="00001050" w:rsidRDefault="00F01B89" w:rsidP="00F01B89">
      <w:pPr>
        <w:ind w:firstLine="709"/>
        <w:jc w:val="both"/>
        <w:rPr>
          <w:sz w:val="28"/>
          <w:szCs w:val="28"/>
        </w:rPr>
      </w:pPr>
      <w:r w:rsidRPr="00001050">
        <w:rPr>
          <w:sz w:val="28"/>
          <w:szCs w:val="28"/>
        </w:rPr>
        <w:t>Учитывая большое число участников рынка, предлагающих аналогичные услуги, каждой компании приходится прикладывать усилия, чтобы дифференцировать свои предложения для привлечения и удержания клиентов, используя для этого бренд, цену или качество исполнения.</w:t>
      </w:r>
    </w:p>
    <w:p w14:paraId="712E9FEA" w14:textId="77777777" w:rsidR="00F01B89" w:rsidRPr="00001050" w:rsidRDefault="00F01B89" w:rsidP="00F01B89">
      <w:pPr>
        <w:ind w:firstLine="709"/>
        <w:jc w:val="center"/>
        <w:rPr>
          <w:sz w:val="28"/>
          <w:szCs w:val="28"/>
        </w:rPr>
      </w:pPr>
      <w:r w:rsidRPr="00001050">
        <w:rPr>
          <w:noProof/>
          <w:sz w:val="28"/>
          <w:szCs w:val="28"/>
        </w:rPr>
        <w:lastRenderedPageBreak/>
        <w:drawing>
          <wp:inline distT="0" distB="0" distL="0" distR="0" wp14:anchorId="6F019660" wp14:editId="2AF2CD73">
            <wp:extent cx="3314700" cy="276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2762250"/>
                    </a:xfrm>
                    <a:prstGeom prst="rect">
                      <a:avLst/>
                    </a:prstGeom>
                    <a:noFill/>
                    <a:ln>
                      <a:noFill/>
                    </a:ln>
                  </pic:spPr>
                </pic:pic>
              </a:graphicData>
            </a:graphic>
          </wp:inline>
        </w:drawing>
      </w:r>
    </w:p>
    <w:p w14:paraId="24B9C5C0" w14:textId="77777777" w:rsidR="00F01B89" w:rsidRPr="00001050" w:rsidRDefault="00F01B89" w:rsidP="00F01B89">
      <w:pPr>
        <w:ind w:firstLine="709"/>
        <w:jc w:val="center"/>
        <w:rPr>
          <w:sz w:val="28"/>
          <w:szCs w:val="28"/>
        </w:rPr>
      </w:pPr>
      <w:r w:rsidRPr="00001050">
        <w:rPr>
          <w:sz w:val="28"/>
          <w:szCs w:val="28"/>
        </w:rPr>
        <w:t>Рисунок 2 - Отношение к персональным рискам при использовании цифровых финансовых услуг</w:t>
      </w:r>
    </w:p>
    <w:p w14:paraId="05E42667" w14:textId="77777777" w:rsidR="00F01B89" w:rsidRPr="00001050" w:rsidRDefault="00F01B89" w:rsidP="00F01B89">
      <w:pPr>
        <w:ind w:firstLine="709"/>
        <w:jc w:val="both"/>
        <w:rPr>
          <w:sz w:val="28"/>
          <w:szCs w:val="28"/>
        </w:rPr>
      </w:pPr>
      <w:r w:rsidRPr="00001050">
        <w:rPr>
          <w:sz w:val="28"/>
          <w:szCs w:val="28"/>
        </w:rPr>
        <w:t>Цифровая трансформация банков непосредственно связана с развитием их экосистемы, включающей множество небанковских активов, собранных на единой технологической платформе. Их аудитория постоянно растет: к примеру, аудитория нефинансовых сервисов Сбербанка в начале 2019 года составляла 67 миллионов человек, это более 70% от общего количества активных частных клиентов банка. В то время как финансовыми и лайфстайл-услугами, которые предлагает экосистема «Тинькофф Банка», пользуются более 8 млн клиентов.</w:t>
      </w:r>
    </w:p>
    <w:p w14:paraId="1CA1F41E" w14:textId="77777777" w:rsidR="00F01B89" w:rsidRPr="00001050" w:rsidRDefault="00F01B89" w:rsidP="00F01B89">
      <w:pPr>
        <w:ind w:firstLine="709"/>
        <w:jc w:val="center"/>
        <w:rPr>
          <w:sz w:val="28"/>
          <w:szCs w:val="28"/>
        </w:rPr>
      </w:pPr>
      <w:r w:rsidRPr="00001050">
        <w:rPr>
          <w:noProof/>
          <w:sz w:val="28"/>
          <w:szCs w:val="28"/>
        </w:rPr>
        <w:drawing>
          <wp:inline distT="0" distB="0" distL="0" distR="0" wp14:anchorId="3FC06FE5" wp14:editId="54918A18">
            <wp:extent cx="5276850" cy="381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810000"/>
                    </a:xfrm>
                    <a:prstGeom prst="rect">
                      <a:avLst/>
                    </a:prstGeom>
                    <a:noFill/>
                    <a:ln>
                      <a:noFill/>
                    </a:ln>
                  </pic:spPr>
                </pic:pic>
              </a:graphicData>
            </a:graphic>
          </wp:inline>
        </w:drawing>
      </w:r>
    </w:p>
    <w:p w14:paraId="0C1EED4E" w14:textId="77332784" w:rsidR="00F01B89" w:rsidRPr="00001050" w:rsidRDefault="00F01B89" w:rsidP="00F01B89">
      <w:pPr>
        <w:ind w:firstLine="709"/>
        <w:jc w:val="center"/>
        <w:rPr>
          <w:sz w:val="28"/>
          <w:szCs w:val="28"/>
        </w:rPr>
      </w:pPr>
      <w:r w:rsidRPr="00001050">
        <w:rPr>
          <w:sz w:val="28"/>
          <w:szCs w:val="28"/>
        </w:rPr>
        <w:t>Рисунок 3 -Затраты банков на ИТ</w:t>
      </w:r>
    </w:p>
    <w:p w14:paraId="19828AFA" w14:textId="77777777" w:rsidR="00F01B89" w:rsidRPr="00001050" w:rsidRDefault="00F01B89" w:rsidP="00F01B89">
      <w:pPr>
        <w:ind w:firstLine="709"/>
        <w:jc w:val="both"/>
        <w:rPr>
          <w:sz w:val="28"/>
          <w:szCs w:val="28"/>
        </w:rPr>
      </w:pPr>
      <w:r w:rsidRPr="00001050">
        <w:rPr>
          <w:sz w:val="28"/>
          <w:szCs w:val="28"/>
        </w:rPr>
        <w:t xml:space="preserve">ИТ-бюджеты Сбербанка и ВТБ в долларах США рассчитывались как суммы произведений затрат на ИТ за квартал и среднего курса доллара за </w:t>
      </w:r>
      <w:r w:rsidRPr="00001050">
        <w:rPr>
          <w:sz w:val="28"/>
          <w:szCs w:val="28"/>
        </w:rPr>
        <w:lastRenderedPageBreak/>
        <w:t xml:space="preserve">квартал. Затраты на ИТ – это затраты на цифровую трансформацию из ежеквартальных отчетов эмитента. Активы Сбербанка и ВТБ взяты из отчетности МСФО за 2018 год. </w:t>
      </w:r>
    </w:p>
    <w:p w14:paraId="401A50CB" w14:textId="007FE586" w:rsidR="00F01B89" w:rsidRPr="00001050" w:rsidRDefault="00F01B89" w:rsidP="00F01B89">
      <w:pPr>
        <w:ind w:firstLine="709"/>
        <w:jc w:val="both"/>
        <w:rPr>
          <w:sz w:val="28"/>
          <w:szCs w:val="28"/>
        </w:rPr>
      </w:pPr>
      <w:r w:rsidRPr="00001050">
        <w:rPr>
          <w:sz w:val="28"/>
          <w:szCs w:val="28"/>
        </w:rPr>
        <w:t>Согласно полученным данным, клиенты реже заходят в филиал, предпочитая вместо этого пользоваться своим смартфоном или компьютером. Сантандер сообщил о 23% - ном снижении числа операций в филиалах и 99% - ном увеличении числа цифровых транзакций в течение трех лет, прежде чем принять решение о сокращении физических филиалов и уделении большего внимания цифровым операциям.</w:t>
      </w:r>
    </w:p>
    <w:p w14:paraId="4C9A4985" w14:textId="77777777" w:rsidR="00F01B89" w:rsidRPr="00001050" w:rsidRDefault="00F01B89" w:rsidP="00F01B89">
      <w:pPr>
        <w:ind w:firstLine="709"/>
        <w:jc w:val="both"/>
        <w:rPr>
          <w:sz w:val="28"/>
          <w:szCs w:val="28"/>
        </w:rPr>
      </w:pPr>
      <w:r w:rsidRPr="00001050">
        <w:rPr>
          <w:sz w:val="28"/>
          <w:szCs w:val="28"/>
        </w:rPr>
        <w:t>Крупные игроки, такие как Amazon, сделали мгновенное удовлетворение нормой для клиентов, которые ожидают одинакового уровня обслуживания от всех своих поставщиков услуг. Поэтому, чтобы оставаться конкурентоспособными, банковская отрасль должна быстро осваивать новейшие технологии для создания бесконтактного, комуниканального опыта для своих клиентов. Мы уже испытываем один из самых полезных инструментов коммуникации с клиентами-чат-бот.</w:t>
      </w:r>
    </w:p>
    <w:p w14:paraId="560361FC" w14:textId="77777777" w:rsidR="00F01B89" w:rsidRPr="00001050" w:rsidRDefault="00F01B89" w:rsidP="00F01B89">
      <w:pPr>
        <w:ind w:firstLine="709"/>
        <w:jc w:val="both"/>
        <w:rPr>
          <w:sz w:val="28"/>
          <w:szCs w:val="28"/>
        </w:rPr>
      </w:pPr>
      <w:r w:rsidRPr="00001050">
        <w:rPr>
          <w:sz w:val="28"/>
          <w:szCs w:val="28"/>
        </w:rPr>
        <w:t>Рассмотрим платежи, одно из самых основных применений цифровых технологий в финансовой индустрии.</w:t>
      </w:r>
    </w:p>
    <w:p w14:paraId="5AD2E540" w14:textId="77777777" w:rsidR="00F01B89" w:rsidRPr="00001050" w:rsidRDefault="00F01B89" w:rsidP="00F01B89">
      <w:pPr>
        <w:ind w:firstLine="709"/>
        <w:jc w:val="both"/>
        <w:rPr>
          <w:sz w:val="28"/>
          <w:szCs w:val="28"/>
        </w:rPr>
      </w:pPr>
      <w:r w:rsidRPr="00001050">
        <w:rPr>
          <w:sz w:val="28"/>
          <w:szCs w:val="28"/>
        </w:rPr>
        <w:t>Трансформация в этой области была инициирована эволюцией физических инструментов, таких как кредитные и дебетовые карты. Однако физические карты постепенно теряют свою популярность, так как большинство людей теперь перешли на мобильные кошельки и бесконтактные способы оплаты.</w:t>
      </w:r>
    </w:p>
    <w:p w14:paraId="67B1A6E2" w14:textId="77777777" w:rsidR="00F01B89" w:rsidRPr="00001050" w:rsidRDefault="00F01B89" w:rsidP="00F01B89">
      <w:pPr>
        <w:ind w:firstLine="709"/>
        <w:jc w:val="both"/>
        <w:rPr>
          <w:sz w:val="28"/>
          <w:szCs w:val="28"/>
        </w:rPr>
      </w:pPr>
      <w:r w:rsidRPr="00001050">
        <w:rPr>
          <w:sz w:val="28"/>
          <w:szCs w:val="28"/>
        </w:rPr>
        <w:t>Согласно исследованию PwC Global FinTech Survey 2017, Финансовая индустрия активно инвестирует в аналитику данных для удовлетворения меняющихся потребностей своих клиентов. В мировом полугодовом руководстве по расходам на большие данные и аналитику от International Data Corporation (IDC) указывается, что CAGR составляет 13,2% в доходах от аналитики больших данных в период 2018-2022 годов. К 2022 году IDC ожидает, что мировой доход от BDA составит $ 274,3 млрд. Согласно отчету, банковская отрасль является одним из крупнейших инвесторов в большие данные и аналитические решения.</w:t>
      </w:r>
    </w:p>
    <w:p w14:paraId="255C15C1" w14:textId="77777777" w:rsidR="00F01B89" w:rsidRPr="00001050" w:rsidRDefault="00F01B89" w:rsidP="00F01B89">
      <w:pPr>
        <w:ind w:firstLine="709"/>
        <w:jc w:val="both"/>
        <w:rPr>
          <w:sz w:val="28"/>
          <w:szCs w:val="28"/>
        </w:rPr>
      </w:pPr>
      <w:r w:rsidRPr="00001050">
        <w:rPr>
          <w:sz w:val="28"/>
          <w:szCs w:val="28"/>
        </w:rPr>
        <w:t>Очевидно, что банковская отрасль осознала важность данных клиентов, хранящихся на ее серверах. Кроме того, он готов инвестировать в технологии, чтобы использовать эти данные для персонализированного маркетинга и укрепления безопасности своих систем.</w:t>
      </w:r>
    </w:p>
    <w:p w14:paraId="58BB44EF" w14:textId="77777777" w:rsidR="00F01B89" w:rsidRPr="00001050" w:rsidRDefault="00F01B89" w:rsidP="00F01B89">
      <w:pPr>
        <w:ind w:firstLine="709"/>
        <w:jc w:val="both"/>
        <w:rPr>
          <w:sz w:val="28"/>
          <w:szCs w:val="28"/>
        </w:rPr>
      </w:pPr>
      <w:r w:rsidRPr="00001050">
        <w:rPr>
          <w:sz w:val="28"/>
          <w:szCs w:val="28"/>
        </w:rPr>
        <w:t>Финансовая индустрия находится на сокровищнице данных, собранных в различных точках соприкосновения, как физических, так и цифровых, на протяжении многих лет. И, как и многие другие отрасли, банки могут использовать эти данные, чтобы лучше узнать своих клиентов.</w:t>
      </w:r>
    </w:p>
    <w:p w14:paraId="7D9A970C" w14:textId="77777777" w:rsidR="00F01B89" w:rsidRDefault="00F01B89" w:rsidP="00F01B89">
      <w:pPr>
        <w:ind w:firstLine="709"/>
        <w:jc w:val="both"/>
        <w:rPr>
          <w:sz w:val="28"/>
          <w:szCs w:val="28"/>
        </w:rPr>
      </w:pPr>
      <w:r w:rsidRPr="00001050">
        <w:rPr>
          <w:sz w:val="28"/>
          <w:szCs w:val="28"/>
        </w:rPr>
        <w:t xml:space="preserve">Возьмем пример American Express; с " базой данных из более чем 100 миллионов кредитных карт по всему миру, на которые приходится более 1 триллиона долларов в годовом объеме платежей."Банковский гигант решил использовать эти данные и создал сложную прогностическую модель, чтобы предотвратить отток клиентов. </w:t>
      </w:r>
      <w:bookmarkStart w:id="0" w:name="_GoBack"/>
    </w:p>
    <w:p w14:paraId="23506B07" w14:textId="4594EED1" w:rsidR="00F01B89" w:rsidRPr="00001050" w:rsidRDefault="00F01B89" w:rsidP="00F01B89">
      <w:pPr>
        <w:ind w:firstLine="709"/>
        <w:jc w:val="both"/>
        <w:rPr>
          <w:sz w:val="28"/>
          <w:szCs w:val="28"/>
        </w:rPr>
      </w:pPr>
      <w:r w:rsidRPr="00001050">
        <w:rPr>
          <w:sz w:val="28"/>
          <w:szCs w:val="28"/>
        </w:rPr>
        <w:lastRenderedPageBreak/>
        <w:t>Анализируя исторические транзакции и 115 других переменных для прогнозирования потенциального оттока, Amex может определить счета, которые с наибольшей вероятностью закроются в течение ближайших нескольких месяцев, и принять превентивные меры, чтобы удержать этих клиентов от ухода.</w:t>
      </w:r>
    </w:p>
    <w:p w14:paraId="02FA61B3" w14:textId="77777777" w:rsidR="00F01B89" w:rsidRPr="00F01B89" w:rsidRDefault="00F01B89" w:rsidP="00F01B89">
      <w:pPr>
        <w:widowControl w:val="0"/>
        <w:tabs>
          <w:tab w:val="left" w:pos="1134"/>
        </w:tabs>
        <w:ind w:firstLine="680"/>
        <w:jc w:val="both"/>
        <w:rPr>
          <w:sz w:val="28"/>
          <w:szCs w:val="28"/>
        </w:rPr>
      </w:pPr>
    </w:p>
    <w:p w14:paraId="33760D96" w14:textId="1519FD71" w:rsidR="00F01B89" w:rsidRPr="00F01B89" w:rsidRDefault="00F01B89" w:rsidP="003B3BE7">
      <w:pPr>
        <w:pStyle w:val="a6"/>
        <w:spacing w:before="0" w:beforeAutospacing="0" w:after="0" w:afterAutospacing="0"/>
        <w:ind w:firstLine="709"/>
        <w:jc w:val="both"/>
        <w:rPr>
          <w:sz w:val="28"/>
        </w:rPr>
      </w:pPr>
    </w:p>
    <w:bookmarkEnd w:id="0"/>
    <w:p w14:paraId="7DCF81E9" w14:textId="77777777" w:rsidR="00B74F52" w:rsidRDefault="00B74F52"/>
    <w:sectPr w:rsidR="00B74F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E5D9F" w14:textId="77777777" w:rsidR="008852B6" w:rsidRDefault="008852B6" w:rsidP="0004162F">
      <w:r>
        <w:separator/>
      </w:r>
    </w:p>
  </w:endnote>
  <w:endnote w:type="continuationSeparator" w:id="0">
    <w:p w14:paraId="172B1672" w14:textId="77777777" w:rsidR="008852B6" w:rsidRDefault="008852B6" w:rsidP="0004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2E30" w14:textId="77777777" w:rsidR="008852B6" w:rsidRDefault="008852B6" w:rsidP="0004162F">
      <w:r>
        <w:separator/>
      </w:r>
    </w:p>
  </w:footnote>
  <w:footnote w:type="continuationSeparator" w:id="0">
    <w:p w14:paraId="331C3A5B" w14:textId="77777777" w:rsidR="008852B6" w:rsidRDefault="008852B6" w:rsidP="00041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A5FA9"/>
    <w:multiLevelType w:val="hybridMultilevel"/>
    <w:tmpl w:val="50A07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F5CB8"/>
    <w:multiLevelType w:val="hybridMultilevel"/>
    <w:tmpl w:val="9A60E3A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15:restartNumberingAfterBreak="0">
    <w:nsid w:val="44BB0147"/>
    <w:multiLevelType w:val="hybridMultilevel"/>
    <w:tmpl w:val="EFBA7C0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52"/>
    <w:rsid w:val="0004162F"/>
    <w:rsid w:val="001012AF"/>
    <w:rsid w:val="003B3BE7"/>
    <w:rsid w:val="005E2B93"/>
    <w:rsid w:val="008852B6"/>
    <w:rsid w:val="008B550B"/>
    <w:rsid w:val="00B74F52"/>
    <w:rsid w:val="00C719F5"/>
    <w:rsid w:val="00E64BC6"/>
    <w:rsid w:val="00F0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7C7B"/>
  <w15:chartTrackingRefBased/>
  <w15:docId w15:val="{FFDA69B1-BF62-4A76-8F4B-80A05848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2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012AF"/>
    <w:pPr>
      <w:ind w:left="720"/>
      <w:contextualSpacing/>
    </w:pPr>
  </w:style>
  <w:style w:type="character" w:customStyle="1" w:styleId="a4">
    <w:name w:val="Абзац списка Знак"/>
    <w:link w:val="a3"/>
    <w:uiPriority w:val="34"/>
    <w:rsid w:val="001012AF"/>
    <w:rPr>
      <w:rFonts w:ascii="Times New Roman" w:eastAsia="Times New Roman" w:hAnsi="Times New Roman" w:cs="Times New Roman"/>
      <w:sz w:val="24"/>
      <w:szCs w:val="24"/>
      <w:lang w:eastAsia="ru-RU"/>
    </w:rPr>
  </w:style>
  <w:style w:type="character" w:styleId="a5">
    <w:name w:val="Hyperlink"/>
    <w:basedOn w:val="a0"/>
    <w:uiPriority w:val="99"/>
    <w:unhideWhenUsed/>
    <w:rsid w:val="003B3BE7"/>
    <w:rPr>
      <w:color w:val="0563C1" w:themeColor="hyperlink"/>
      <w:u w:val="single"/>
    </w:rPr>
  </w:style>
  <w:style w:type="character" w:customStyle="1" w:styleId="UnresolvedMention">
    <w:name w:val="Unresolved Mention"/>
    <w:basedOn w:val="a0"/>
    <w:uiPriority w:val="99"/>
    <w:semiHidden/>
    <w:unhideWhenUsed/>
    <w:rsid w:val="003B3BE7"/>
    <w:rPr>
      <w:color w:val="605E5C"/>
      <w:shd w:val="clear" w:color="auto" w:fill="E1DFDD"/>
    </w:rPr>
  </w:style>
  <w:style w:type="paragraph" w:styleId="a6">
    <w:name w:val="Normal (Web)"/>
    <w:basedOn w:val="a"/>
    <w:uiPriority w:val="99"/>
    <w:rsid w:val="003B3BE7"/>
    <w:pPr>
      <w:spacing w:before="100" w:beforeAutospacing="1" w:after="100" w:afterAutospacing="1"/>
    </w:pPr>
  </w:style>
  <w:style w:type="paragraph" w:styleId="a7">
    <w:name w:val="header"/>
    <w:basedOn w:val="a"/>
    <w:link w:val="a8"/>
    <w:uiPriority w:val="99"/>
    <w:unhideWhenUsed/>
    <w:rsid w:val="0004162F"/>
    <w:pPr>
      <w:tabs>
        <w:tab w:val="center" w:pos="4677"/>
        <w:tab w:val="right" w:pos="9355"/>
      </w:tabs>
    </w:pPr>
  </w:style>
  <w:style w:type="character" w:customStyle="1" w:styleId="a8">
    <w:name w:val="Верхний колонтитул Знак"/>
    <w:basedOn w:val="a0"/>
    <w:link w:val="a7"/>
    <w:uiPriority w:val="99"/>
    <w:rsid w:val="0004162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4162F"/>
    <w:pPr>
      <w:tabs>
        <w:tab w:val="center" w:pos="4677"/>
        <w:tab w:val="right" w:pos="9355"/>
      </w:tabs>
    </w:pPr>
  </w:style>
  <w:style w:type="character" w:customStyle="1" w:styleId="aa">
    <w:name w:val="Нижний колонтитул Знак"/>
    <w:basedOn w:val="a0"/>
    <w:link w:val="a9"/>
    <w:uiPriority w:val="99"/>
    <w:rsid w:val="0004162F"/>
    <w:rPr>
      <w:rFonts w:ascii="Times New Roman" w:eastAsia="Times New Roman" w:hAnsi="Times New Roman" w:cs="Times New Roman"/>
      <w:sz w:val="24"/>
      <w:szCs w:val="24"/>
      <w:lang w:eastAsia="ru-RU"/>
    </w:rPr>
  </w:style>
  <w:style w:type="table" w:styleId="ab">
    <w:name w:val="Table Grid"/>
    <w:basedOn w:val="a1"/>
    <w:uiPriority w:val="39"/>
    <w:rsid w:val="00041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F01B89"/>
    <w:rPr>
      <w:rFonts w:asciiTheme="minorHAnsi" w:eastAsiaTheme="minorHAnsi" w:hAnsiTheme="minorHAnsi" w:cstheme="minorBidi"/>
      <w:sz w:val="20"/>
      <w:szCs w:val="20"/>
      <w:lang w:eastAsia="en-US"/>
    </w:rPr>
  </w:style>
  <w:style w:type="character" w:customStyle="1" w:styleId="ad">
    <w:name w:val="Текст сноски Знак"/>
    <w:basedOn w:val="a0"/>
    <w:link w:val="ac"/>
    <w:uiPriority w:val="99"/>
    <w:semiHidden/>
    <w:rsid w:val="00F01B89"/>
    <w:rPr>
      <w:sz w:val="20"/>
      <w:szCs w:val="20"/>
    </w:rPr>
  </w:style>
  <w:style w:type="character" w:styleId="ae">
    <w:name w:val="footnote reference"/>
    <w:basedOn w:val="a0"/>
    <w:uiPriority w:val="99"/>
    <w:semiHidden/>
    <w:unhideWhenUsed/>
    <w:rsid w:val="00F01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664636">
      <w:bodyDiv w:val="1"/>
      <w:marLeft w:val="0"/>
      <w:marRight w:val="0"/>
      <w:marTop w:val="0"/>
      <w:marBottom w:val="0"/>
      <w:divBdr>
        <w:top w:val="none" w:sz="0" w:space="0" w:color="auto"/>
        <w:left w:val="none" w:sz="0" w:space="0" w:color="auto"/>
        <w:bottom w:val="none" w:sz="0" w:space="0" w:color="auto"/>
        <w:right w:val="none" w:sz="0" w:space="0" w:color="auto"/>
      </w:divBdr>
    </w:div>
    <w:div w:id="12717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lizbank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nki.ru/services/responses/"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ku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3822</Words>
  <Characters>21788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123</cp:lastModifiedBy>
  <cp:revision>4</cp:revision>
  <dcterms:created xsi:type="dcterms:W3CDTF">2021-01-12T05:35:00Z</dcterms:created>
  <dcterms:modified xsi:type="dcterms:W3CDTF">2021-01-12T06:29:00Z</dcterms:modified>
</cp:coreProperties>
</file>